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E16EA" w14:textId="3D663287" w:rsidR="006440FB" w:rsidRPr="006D7459" w:rsidRDefault="005E21CF" w:rsidP="006440FB">
      <w:pPr>
        <w:pStyle w:val="NoNumTitle-Clause"/>
        <w:ind w:left="0"/>
        <w:jc w:val="center"/>
        <w:rPr>
          <w:rFonts w:ascii="Calibri" w:hAnsi="Calibri"/>
          <w:sz w:val="28"/>
          <w:szCs w:val="28"/>
        </w:rPr>
      </w:pPr>
      <w:bookmarkStart w:id="0" w:name="a371983"/>
      <w:r>
        <w:rPr>
          <w:rFonts w:ascii="Calibri" w:hAnsi="Calibri"/>
          <w:sz w:val="28"/>
          <w:szCs w:val="28"/>
        </w:rPr>
        <w:t>GDPR Policy</w:t>
      </w:r>
      <w:r w:rsidR="000A04C3">
        <w:rPr>
          <w:rFonts w:ascii="Calibri" w:hAnsi="Calibri"/>
          <w:sz w:val="28"/>
          <w:szCs w:val="28"/>
        </w:rPr>
        <w:t xml:space="preserve"> – </w:t>
      </w:r>
      <w:r w:rsidR="00447FA9">
        <w:rPr>
          <w:rFonts w:ascii="Calibri" w:hAnsi="Calibri"/>
          <w:sz w:val="28"/>
          <w:szCs w:val="28"/>
        </w:rPr>
        <w:t>Employees &amp; Contractors</w:t>
      </w:r>
    </w:p>
    <w:p w14:paraId="2361F656" w14:textId="7DDF1722" w:rsidR="006440FB" w:rsidRPr="006D7459" w:rsidRDefault="00105C3D" w:rsidP="008D2831">
      <w:pPr>
        <w:pStyle w:val="NoNumTitle-Clause"/>
        <w:rPr>
          <w:rFonts w:ascii="Calibri" w:hAnsi="Calibri"/>
          <w:b w:val="0"/>
          <w:szCs w:val="22"/>
        </w:rPr>
      </w:pPr>
      <w:r>
        <w:rPr>
          <w:rFonts w:ascii="Calibri" w:hAnsi="Calibri"/>
          <w:b w:val="0"/>
          <w:szCs w:val="22"/>
        </w:rPr>
        <w:t>Swype</w:t>
      </w:r>
      <w:r w:rsidR="00537D51">
        <w:rPr>
          <w:rFonts w:ascii="Calibri" w:hAnsi="Calibri"/>
          <w:b w:val="0"/>
          <w:szCs w:val="22"/>
        </w:rPr>
        <w:t xml:space="preserve"> </w:t>
      </w:r>
      <w:r w:rsidR="006440FB" w:rsidRPr="006D7459">
        <w:rPr>
          <w:rFonts w:ascii="Calibri" w:hAnsi="Calibri"/>
          <w:b w:val="0"/>
          <w:szCs w:val="22"/>
        </w:rPr>
        <w:t>is committed to protecting the privacy and security of your personal information</w:t>
      </w:r>
      <w:r w:rsidR="004D20E6">
        <w:rPr>
          <w:rFonts w:ascii="Calibri" w:hAnsi="Calibri"/>
          <w:b w:val="0"/>
          <w:szCs w:val="22"/>
        </w:rPr>
        <w:t xml:space="preserve"> and information supplied by you that may belong to a third party</w:t>
      </w:r>
      <w:r w:rsidR="006440FB" w:rsidRPr="006D7459">
        <w:rPr>
          <w:rFonts w:ascii="Calibri" w:hAnsi="Calibri"/>
          <w:b w:val="0"/>
          <w:szCs w:val="22"/>
        </w:rPr>
        <w:t>.</w:t>
      </w:r>
    </w:p>
    <w:p w14:paraId="0034073B" w14:textId="085A0003" w:rsidR="00F452DD" w:rsidRDefault="006440FB" w:rsidP="008D2831">
      <w:pPr>
        <w:pStyle w:val="NoNumTitle-Clause"/>
        <w:rPr>
          <w:rFonts w:ascii="Calibri" w:hAnsi="Calibri"/>
          <w:b w:val="0"/>
          <w:szCs w:val="22"/>
        </w:rPr>
      </w:pPr>
      <w:r w:rsidRPr="006D7459">
        <w:rPr>
          <w:rFonts w:ascii="Calibri" w:hAnsi="Calibri"/>
          <w:b w:val="0"/>
          <w:szCs w:val="22"/>
        </w:rPr>
        <w:t xml:space="preserve">This privacy </w:t>
      </w:r>
      <w:r w:rsidR="00381F64">
        <w:rPr>
          <w:rFonts w:ascii="Calibri" w:hAnsi="Calibri"/>
          <w:b w:val="0"/>
          <w:szCs w:val="22"/>
        </w:rPr>
        <w:t>policy</w:t>
      </w:r>
      <w:r w:rsidRPr="006D7459">
        <w:rPr>
          <w:rFonts w:ascii="Calibri" w:hAnsi="Calibri"/>
          <w:b w:val="0"/>
          <w:szCs w:val="22"/>
        </w:rPr>
        <w:t xml:space="preserve"> describes how we collect and use personal information about you</w:t>
      </w:r>
      <w:r w:rsidR="00381F64">
        <w:rPr>
          <w:rFonts w:ascii="Calibri" w:hAnsi="Calibri"/>
          <w:b w:val="0"/>
          <w:szCs w:val="22"/>
        </w:rPr>
        <w:t xml:space="preserve"> or your interested parties while you engage with Swype either as an employee, customer or supplier.  This policy reflects the companies privacy standards of handling information from supply, protection levels through to potential disposal.  This policy is written in accordance</w:t>
      </w:r>
      <w:r w:rsidRPr="006D7459">
        <w:rPr>
          <w:rFonts w:ascii="Calibri" w:hAnsi="Calibri"/>
          <w:b w:val="0"/>
          <w:szCs w:val="22"/>
        </w:rPr>
        <w:t xml:space="preserve"> </w:t>
      </w:r>
      <w:r w:rsidR="00F452DD" w:rsidRPr="006D7459">
        <w:rPr>
          <w:rFonts w:ascii="Calibri" w:hAnsi="Calibri"/>
          <w:b w:val="0"/>
          <w:szCs w:val="22"/>
        </w:rPr>
        <w:t>with the</w:t>
      </w:r>
      <w:r w:rsidR="00EA6175">
        <w:rPr>
          <w:rFonts w:ascii="Calibri" w:hAnsi="Calibri"/>
          <w:b w:val="0"/>
          <w:szCs w:val="22"/>
        </w:rPr>
        <w:t xml:space="preserve"> requirements of the </w:t>
      </w:r>
      <w:r w:rsidR="00F452DD" w:rsidRPr="006D7459">
        <w:rPr>
          <w:rFonts w:ascii="Calibri" w:hAnsi="Calibri"/>
          <w:b w:val="0"/>
          <w:szCs w:val="22"/>
        </w:rPr>
        <w:t>General Data Protection Regulations (GDPR).</w:t>
      </w:r>
    </w:p>
    <w:p w14:paraId="2F101316" w14:textId="4F8B4516" w:rsidR="00BC0EFB" w:rsidRPr="00BC0EFB" w:rsidRDefault="00BC0EFB" w:rsidP="008D2831">
      <w:pPr>
        <w:pStyle w:val="NoNumTitle-Clause"/>
        <w:rPr>
          <w:rFonts w:ascii="Calibri" w:hAnsi="Calibri"/>
          <w:szCs w:val="22"/>
        </w:rPr>
      </w:pPr>
      <w:r w:rsidRPr="00BC0EFB">
        <w:rPr>
          <w:rFonts w:ascii="Calibri" w:hAnsi="Calibri"/>
          <w:szCs w:val="22"/>
        </w:rPr>
        <w:t>Applicability</w:t>
      </w:r>
    </w:p>
    <w:p w14:paraId="67060892" w14:textId="36ECE2A3" w:rsidR="006440FB" w:rsidRPr="006D7459" w:rsidRDefault="00BC0EFB" w:rsidP="008D2831">
      <w:pPr>
        <w:pStyle w:val="NoNumTitle-Clause"/>
        <w:rPr>
          <w:rFonts w:ascii="Calibri" w:hAnsi="Calibri"/>
          <w:b w:val="0"/>
          <w:szCs w:val="22"/>
        </w:rPr>
      </w:pPr>
      <w:r>
        <w:rPr>
          <w:rFonts w:ascii="Calibri" w:hAnsi="Calibri"/>
          <w:b w:val="0"/>
          <w:szCs w:val="22"/>
        </w:rPr>
        <w:t>This policy</w:t>
      </w:r>
      <w:r w:rsidR="00F452DD" w:rsidRPr="006D7459">
        <w:rPr>
          <w:rFonts w:ascii="Calibri" w:hAnsi="Calibri"/>
          <w:b w:val="0"/>
          <w:szCs w:val="22"/>
        </w:rPr>
        <w:t xml:space="preserve"> applies to all employees, workers</w:t>
      </w:r>
      <w:r>
        <w:rPr>
          <w:rFonts w:ascii="Calibri" w:hAnsi="Calibri"/>
          <w:b w:val="0"/>
          <w:szCs w:val="22"/>
        </w:rPr>
        <w:t>,</w:t>
      </w:r>
      <w:r w:rsidR="00F452DD" w:rsidRPr="006D7459">
        <w:rPr>
          <w:rFonts w:ascii="Calibri" w:hAnsi="Calibri"/>
          <w:b w:val="0"/>
          <w:szCs w:val="22"/>
        </w:rPr>
        <w:t xml:space="preserve"> contractors</w:t>
      </w:r>
      <w:r w:rsidR="00447FA9">
        <w:rPr>
          <w:rFonts w:ascii="Calibri" w:hAnsi="Calibri"/>
          <w:b w:val="0"/>
          <w:szCs w:val="22"/>
        </w:rPr>
        <w:t xml:space="preserve"> </w:t>
      </w:r>
      <w:r>
        <w:rPr>
          <w:rFonts w:ascii="Calibri" w:hAnsi="Calibri"/>
          <w:b w:val="0"/>
          <w:szCs w:val="22"/>
        </w:rPr>
        <w:t>and their interested parties.</w:t>
      </w:r>
    </w:p>
    <w:p w14:paraId="6D83B456" w14:textId="77777777" w:rsidR="008D2831" w:rsidRPr="006D7459" w:rsidRDefault="008D2831" w:rsidP="008D2831">
      <w:pPr>
        <w:pStyle w:val="NoNumTitle-Clause"/>
        <w:rPr>
          <w:rFonts w:ascii="Calibri" w:hAnsi="Calibri"/>
          <w:szCs w:val="22"/>
        </w:rPr>
      </w:pPr>
      <w:r w:rsidRPr="006D7459">
        <w:rPr>
          <w:rFonts w:ascii="Calibri" w:hAnsi="Calibri"/>
          <w:szCs w:val="22"/>
        </w:rPr>
        <w:t>What is the purpose of this document?</w:t>
      </w:r>
      <w:bookmarkEnd w:id="0"/>
    </w:p>
    <w:p w14:paraId="70AA33A9" w14:textId="7B240705" w:rsidR="008D2831" w:rsidRPr="006D7459" w:rsidRDefault="00105C3D" w:rsidP="008D2831">
      <w:pPr>
        <w:pStyle w:val="ParaClause"/>
        <w:rPr>
          <w:rFonts w:ascii="Calibri" w:hAnsi="Calibri"/>
          <w:szCs w:val="22"/>
        </w:rPr>
      </w:pPr>
      <w:bookmarkStart w:id="1" w:name="a719409"/>
      <w:bookmarkEnd w:id="1"/>
      <w:r>
        <w:rPr>
          <w:rFonts w:ascii="Calibri" w:hAnsi="Calibri"/>
          <w:szCs w:val="22"/>
        </w:rPr>
        <w:t>Swype</w:t>
      </w:r>
      <w:r w:rsidR="007331B0">
        <w:rPr>
          <w:rFonts w:ascii="Calibri" w:hAnsi="Calibri"/>
          <w:szCs w:val="22"/>
        </w:rPr>
        <w:t xml:space="preserve"> i</w:t>
      </w:r>
      <w:r w:rsidR="00537D51">
        <w:rPr>
          <w:rFonts w:ascii="Calibri" w:hAnsi="Calibri"/>
          <w:szCs w:val="22"/>
        </w:rPr>
        <w:t xml:space="preserve">s a </w:t>
      </w:r>
      <w:r w:rsidR="008D2831" w:rsidRPr="006D7459">
        <w:rPr>
          <w:rFonts w:ascii="Calibri" w:hAnsi="Calibri"/>
          <w:szCs w:val="22"/>
        </w:rPr>
        <w:t xml:space="preserve">"data controller". This means that we are responsible for deciding how we </w:t>
      </w:r>
      <w:r w:rsidR="00BC0EFB">
        <w:rPr>
          <w:rFonts w:ascii="Calibri" w:hAnsi="Calibri"/>
          <w:szCs w:val="22"/>
        </w:rPr>
        <w:t>record, protect</w:t>
      </w:r>
      <w:r w:rsidR="008D2831" w:rsidRPr="006D7459">
        <w:rPr>
          <w:rFonts w:ascii="Calibri" w:hAnsi="Calibri"/>
          <w:szCs w:val="22"/>
        </w:rPr>
        <w:t xml:space="preserve"> and use personal information about you</w:t>
      </w:r>
      <w:r w:rsidR="00381F64">
        <w:rPr>
          <w:rFonts w:ascii="Calibri" w:hAnsi="Calibri"/>
          <w:szCs w:val="22"/>
        </w:rPr>
        <w:t>, your company and your interested parties</w:t>
      </w:r>
      <w:r w:rsidR="008D2831" w:rsidRPr="006D7459">
        <w:rPr>
          <w:rFonts w:ascii="Calibri" w:hAnsi="Calibri"/>
          <w:szCs w:val="22"/>
        </w:rPr>
        <w:t xml:space="preserve">. We are required under data protection legislation to notify you of </w:t>
      </w:r>
      <w:r w:rsidR="00BC0EFB">
        <w:rPr>
          <w:rFonts w:ascii="Calibri" w:hAnsi="Calibri"/>
          <w:szCs w:val="22"/>
        </w:rPr>
        <w:t xml:space="preserve">how we intend to manage </w:t>
      </w:r>
      <w:r w:rsidR="008D2831" w:rsidRPr="006D7459">
        <w:rPr>
          <w:rFonts w:ascii="Calibri" w:hAnsi="Calibri"/>
          <w:szCs w:val="22"/>
        </w:rPr>
        <w:t xml:space="preserve">the information </w:t>
      </w:r>
      <w:r w:rsidR="00BC0EFB">
        <w:rPr>
          <w:rFonts w:ascii="Calibri" w:hAnsi="Calibri"/>
          <w:szCs w:val="22"/>
        </w:rPr>
        <w:t>we use, protect and retain information that can be classed as identifiers to individuals which has the potential to be compromised</w:t>
      </w:r>
      <w:r w:rsidR="008D2831" w:rsidRPr="006D7459">
        <w:rPr>
          <w:rFonts w:ascii="Calibri" w:hAnsi="Calibri"/>
          <w:szCs w:val="22"/>
        </w:rPr>
        <w:t>.</w:t>
      </w:r>
    </w:p>
    <w:p w14:paraId="4C8CD44D" w14:textId="3D8DF351" w:rsidR="008D2831" w:rsidRPr="006D7459" w:rsidRDefault="008D2831" w:rsidP="008D2831">
      <w:pPr>
        <w:pStyle w:val="ParaClause"/>
        <w:rPr>
          <w:rFonts w:ascii="Calibri" w:hAnsi="Calibri"/>
          <w:szCs w:val="22"/>
        </w:rPr>
      </w:pPr>
      <w:r w:rsidRPr="006D7459">
        <w:rPr>
          <w:rFonts w:ascii="Calibri" w:hAnsi="Calibri"/>
          <w:szCs w:val="22"/>
        </w:rPr>
        <w:t xml:space="preserve">This </w:t>
      </w:r>
      <w:r w:rsidR="000C6A5F">
        <w:rPr>
          <w:rFonts w:ascii="Calibri" w:hAnsi="Calibri"/>
          <w:szCs w:val="22"/>
        </w:rPr>
        <w:t>policy</w:t>
      </w:r>
      <w:r w:rsidRPr="006D7459">
        <w:rPr>
          <w:rFonts w:ascii="Calibri" w:hAnsi="Calibri"/>
          <w:szCs w:val="22"/>
        </w:rPr>
        <w:t xml:space="preserve"> applies to </w:t>
      </w:r>
      <w:r w:rsidR="00BC0EFB">
        <w:rPr>
          <w:rFonts w:ascii="Calibri" w:hAnsi="Calibri"/>
          <w:szCs w:val="22"/>
        </w:rPr>
        <w:t>past and present</w:t>
      </w:r>
      <w:r w:rsidRPr="006D7459">
        <w:rPr>
          <w:rFonts w:ascii="Calibri" w:hAnsi="Calibri"/>
          <w:szCs w:val="22"/>
        </w:rPr>
        <w:t xml:space="preserve"> employees, contractors</w:t>
      </w:r>
      <w:r w:rsidR="00BC0EFB">
        <w:rPr>
          <w:rFonts w:ascii="Calibri" w:hAnsi="Calibri"/>
          <w:szCs w:val="22"/>
        </w:rPr>
        <w:t>, suppliers, customers and their interested parties</w:t>
      </w:r>
      <w:r w:rsidRPr="006D7459">
        <w:rPr>
          <w:rFonts w:ascii="Calibri" w:hAnsi="Calibri"/>
          <w:szCs w:val="22"/>
        </w:rPr>
        <w:t xml:space="preserve">. This </w:t>
      </w:r>
      <w:r w:rsidR="000C6A5F">
        <w:rPr>
          <w:rFonts w:ascii="Calibri" w:hAnsi="Calibri"/>
          <w:szCs w:val="22"/>
        </w:rPr>
        <w:t>policy</w:t>
      </w:r>
      <w:r w:rsidRPr="006D7459">
        <w:rPr>
          <w:rFonts w:ascii="Calibri" w:hAnsi="Calibri"/>
          <w:szCs w:val="22"/>
        </w:rPr>
        <w:t xml:space="preserve"> does not form part of any contract of employment</w:t>
      </w:r>
      <w:r w:rsidR="00BC0EFB">
        <w:rPr>
          <w:rFonts w:ascii="Calibri" w:hAnsi="Calibri"/>
          <w:szCs w:val="22"/>
        </w:rPr>
        <w:t xml:space="preserve"> any commercial agreement</w:t>
      </w:r>
      <w:r w:rsidRPr="006D7459">
        <w:rPr>
          <w:rFonts w:ascii="Calibri" w:hAnsi="Calibri"/>
          <w:szCs w:val="22"/>
        </w:rPr>
        <w:t xml:space="preserve"> or other contract to provide services. We may update this </w:t>
      </w:r>
      <w:r w:rsidR="000C6A5F">
        <w:rPr>
          <w:rFonts w:ascii="Calibri" w:hAnsi="Calibri"/>
          <w:szCs w:val="22"/>
        </w:rPr>
        <w:t>policy</w:t>
      </w:r>
      <w:r w:rsidRPr="006D7459">
        <w:rPr>
          <w:rFonts w:ascii="Calibri" w:hAnsi="Calibri"/>
          <w:szCs w:val="22"/>
        </w:rPr>
        <w:t xml:space="preserve"> at any time.</w:t>
      </w:r>
    </w:p>
    <w:p w14:paraId="51B97C31" w14:textId="77777777" w:rsidR="008D2831" w:rsidRPr="00F82367" w:rsidRDefault="008D2831" w:rsidP="008D2831">
      <w:pPr>
        <w:pStyle w:val="NoNumTitle-Clause"/>
        <w:rPr>
          <w:rFonts w:ascii="Calibri" w:hAnsi="Calibri"/>
          <w:szCs w:val="22"/>
          <w:u w:val="single"/>
        </w:rPr>
      </w:pPr>
      <w:bookmarkStart w:id="2" w:name="a371450"/>
      <w:r w:rsidRPr="006D7459">
        <w:rPr>
          <w:rFonts w:ascii="Calibri" w:hAnsi="Calibri"/>
          <w:szCs w:val="22"/>
        </w:rPr>
        <w:t>Data protection principles</w:t>
      </w:r>
      <w:bookmarkEnd w:id="2"/>
    </w:p>
    <w:p w14:paraId="53DE450F" w14:textId="2EA93085" w:rsidR="00F240F0" w:rsidRPr="006D7459" w:rsidRDefault="00F240F0" w:rsidP="00F240F0">
      <w:pPr>
        <w:pStyle w:val="Paragraph"/>
        <w:ind w:left="720"/>
        <w:rPr>
          <w:rFonts w:ascii="Calibri" w:hAnsi="Calibri"/>
        </w:rPr>
      </w:pPr>
      <w:bookmarkStart w:id="3" w:name="a486023"/>
      <w:r w:rsidRPr="006D7459">
        <w:rPr>
          <w:rFonts w:ascii="Calibri" w:hAnsi="Calibri"/>
        </w:rPr>
        <w:t>We will comply with data protection law. This says that the personal information we hold about you</w:t>
      </w:r>
      <w:r w:rsidR="00366028">
        <w:rPr>
          <w:rFonts w:ascii="Calibri" w:hAnsi="Calibri"/>
        </w:rPr>
        <w:t xml:space="preserve"> and your interested parties</w:t>
      </w:r>
      <w:r w:rsidRPr="006D7459">
        <w:rPr>
          <w:rFonts w:ascii="Calibri" w:hAnsi="Calibri"/>
        </w:rPr>
        <w:t xml:space="preserve"> must be:</w:t>
      </w:r>
    </w:p>
    <w:p w14:paraId="110C2173" w14:textId="77777777" w:rsidR="00F240F0" w:rsidRPr="006D7459" w:rsidRDefault="00F240F0" w:rsidP="00F240F0">
      <w:pPr>
        <w:pStyle w:val="Paragraph"/>
        <w:ind w:firstLine="720"/>
        <w:rPr>
          <w:rFonts w:ascii="Calibri" w:hAnsi="Calibri"/>
        </w:rPr>
      </w:pPr>
      <w:r w:rsidRPr="006D7459">
        <w:rPr>
          <w:rFonts w:ascii="Calibri" w:hAnsi="Calibri"/>
        </w:rPr>
        <w:t>1. Used lawfully, fairly and in a transparent way.</w:t>
      </w:r>
    </w:p>
    <w:p w14:paraId="196BF9D1" w14:textId="77777777" w:rsidR="00F240F0" w:rsidRPr="006D7459" w:rsidRDefault="00F240F0" w:rsidP="00F240F0">
      <w:pPr>
        <w:pStyle w:val="Paragraph"/>
        <w:ind w:left="720"/>
        <w:rPr>
          <w:rFonts w:ascii="Calibri" w:hAnsi="Calibri"/>
        </w:rPr>
      </w:pPr>
      <w:r w:rsidRPr="006D7459">
        <w:rPr>
          <w:rFonts w:ascii="Calibri" w:hAnsi="Calibri"/>
        </w:rPr>
        <w:t>2. Collected only for valid purposes that we have clearly explained to you and not used in any way that is incompatible with those purposes.</w:t>
      </w:r>
    </w:p>
    <w:p w14:paraId="5E5B93E0" w14:textId="77777777" w:rsidR="00F240F0" w:rsidRPr="006D7459" w:rsidRDefault="00F240F0" w:rsidP="00F240F0">
      <w:pPr>
        <w:pStyle w:val="Paragraph"/>
        <w:ind w:firstLine="720"/>
        <w:rPr>
          <w:rFonts w:ascii="Calibri" w:hAnsi="Calibri"/>
        </w:rPr>
      </w:pPr>
      <w:r w:rsidRPr="006D7459">
        <w:rPr>
          <w:rFonts w:ascii="Calibri" w:hAnsi="Calibri"/>
        </w:rPr>
        <w:t>3. Relevant to the purposes we have told you about and limited only to those purposes.</w:t>
      </w:r>
    </w:p>
    <w:p w14:paraId="7A44E71E" w14:textId="77777777" w:rsidR="00F240F0" w:rsidRPr="006D7459" w:rsidRDefault="00F240F0" w:rsidP="00F240F0">
      <w:pPr>
        <w:pStyle w:val="Paragraph"/>
        <w:ind w:firstLine="720"/>
        <w:rPr>
          <w:rFonts w:ascii="Calibri" w:hAnsi="Calibri"/>
        </w:rPr>
      </w:pPr>
      <w:r w:rsidRPr="006D7459">
        <w:rPr>
          <w:rFonts w:ascii="Calibri" w:hAnsi="Calibri"/>
        </w:rPr>
        <w:t>4. Accurate and kept up to date.</w:t>
      </w:r>
    </w:p>
    <w:p w14:paraId="40635592" w14:textId="1F0F8C34" w:rsidR="00F240F0" w:rsidRDefault="00F240F0" w:rsidP="00F240F0">
      <w:pPr>
        <w:pStyle w:val="Paragraph"/>
        <w:ind w:firstLine="720"/>
        <w:rPr>
          <w:rFonts w:ascii="Calibri" w:hAnsi="Calibri"/>
        </w:rPr>
      </w:pPr>
      <w:r w:rsidRPr="006D7459">
        <w:rPr>
          <w:rFonts w:ascii="Calibri" w:hAnsi="Calibri"/>
        </w:rPr>
        <w:t>5. Kept only as long as necessary for the purposes we have told you about.</w:t>
      </w:r>
    </w:p>
    <w:p w14:paraId="3DD69CA1" w14:textId="6409C514" w:rsidR="00F240F0" w:rsidRDefault="00F731DD" w:rsidP="00F731DD">
      <w:pPr>
        <w:pStyle w:val="Paragraph"/>
        <w:ind w:firstLine="720"/>
        <w:rPr>
          <w:rFonts w:ascii="Calibri" w:hAnsi="Calibri"/>
        </w:rPr>
      </w:pPr>
      <w:r>
        <w:rPr>
          <w:rFonts w:ascii="Calibri" w:hAnsi="Calibri"/>
        </w:rPr>
        <w:t xml:space="preserve">6. </w:t>
      </w:r>
      <w:r w:rsidR="00366028">
        <w:rPr>
          <w:rFonts w:ascii="Calibri" w:hAnsi="Calibri"/>
        </w:rPr>
        <w:t>M</w:t>
      </w:r>
      <w:r>
        <w:rPr>
          <w:rFonts w:ascii="Calibri" w:hAnsi="Calibri"/>
        </w:rPr>
        <w:t>aintain</w:t>
      </w:r>
      <w:r w:rsidR="00246401">
        <w:rPr>
          <w:rFonts w:ascii="Calibri" w:hAnsi="Calibri"/>
        </w:rPr>
        <w:t>ed with</w:t>
      </w:r>
      <w:r>
        <w:rPr>
          <w:rFonts w:ascii="Calibri" w:hAnsi="Calibri"/>
        </w:rPr>
        <w:t xml:space="preserve"> the confidentiality, integrity and availability of the data</w:t>
      </w:r>
      <w:r w:rsidR="00246401">
        <w:rPr>
          <w:rFonts w:ascii="Calibri" w:hAnsi="Calibri"/>
        </w:rPr>
        <w:t xml:space="preserve"> being secure</w:t>
      </w:r>
    </w:p>
    <w:p w14:paraId="09A0A2E7" w14:textId="646EF03C" w:rsidR="00246401" w:rsidRDefault="00F731DD" w:rsidP="00246401">
      <w:pPr>
        <w:pStyle w:val="Paragraph"/>
        <w:ind w:firstLine="720"/>
        <w:rPr>
          <w:rFonts w:ascii="Calibri" w:hAnsi="Calibri"/>
        </w:rPr>
      </w:pPr>
      <w:r>
        <w:rPr>
          <w:rFonts w:ascii="Calibri" w:hAnsi="Calibri"/>
        </w:rPr>
        <w:t xml:space="preserve">7. </w:t>
      </w:r>
      <w:r w:rsidR="00246401">
        <w:rPr>
          <w:rFonts w:ascii="Calibri" w:hAnsi="Calibri"/>
        </w:rPr>
        <w:t>Processed on accordance with the rights of the data subject.</w:t>
      </w:r>
    </w:p>
    <w:p w14:paraId="5E904901" w14:textId="38C517FE" w:rsidR="00246401" w:rsidRDefault="00246401" w:rsidP="00246401">
      <w:pPr>
        <w:pStyle w:val="Paragraph"/>
        <w:rPr>
          <w:rFonts w:ascii="Calibri" w:hAnsi="Calibri"/>
        </w:rPr>
      </w:pPr>
      <w:r>
        <w:rPr>
          <w:rFonts w:ascii="Calibri" w:hAnsi="Calibri"/>
        </w:rPr>
        <w:tab/>
        <w:t>8. not be shared unless otherwise instructed or authorised.</w:t>
      </w:r>
    </w:p>
    <w:p w14:paraId="315C89A1" w14:textId="4618B297" w:rsidR="00366028" w:rsidRDefault="00366028">
      <w:pPr>
        <w:spacing w:after="0" w:line="240" w:lineRule="auto"/>
        <w:rPr>
          <w:rFonts w:ascii="Calibri" w:eastAsia="Times New Roman" w:hAnsi="Calibri" w:cs="Times New Roman"/>
          <w:szCs w:val="20"/>
          <w:lang w:eastAsia="en-US"/>
        </w:rPr>
      </w:pPr>
      <w:r>
        <w:rPr>
          <w:rFonts w:ascii="Calibri" w:hAnsi="Calibri"/>
        </w:rPr>
        <w:br w:type="page"/>
      </w:r>
    </w:p>
    <w:p w14:paraId="6D43971D" w14:textId="650D194B" w:rsidR="008D2831" w:rsidRPr="006D7459" w:rsidRDefault="008D2831" w:rsidP="008D2831">
      <w:pPr>
        <w:pStyle w:val="NoNumTitle-Clause"/>
        <w:rPr>
          <w:rFonts w:ascii="Calibri" w:hAnsi="Calibri"/>
          <w:szCs w:val="22"/>
        </w:rPr>
      </w:pPr>
      <w:r w:rsidRPr="006D7459">
        <w:rPr>
          <w:rFonts w:ascii="Calibri" w:hAnsi="Calibri"/>
          <w:szCs w:val="22"/>
        </w:rPr>
        <w:lastRenderedPageBreak/>
        <w:t>The kind of information we hold about you</w:t>
      </w:r>
      <w:bookmarkEnd w:id="3"/>
      <w:r w:rsidR="00366028">
        <w:rPr>
          <w:rFonts w:ascii="Calibri" w:hAnsi="Calibri"/>
          <w:szCs w:val="22"/>
        </w:rPr>
        <w:t xml:space="preserve"> and your interested parties</w:t>
      </w:r>
    </w:p>
    <w:p w14:paraId="55093071" w14:textId="77777777" w:rsidR="00F240F0" w:rsidRPr="006D7459" w:rsidRDefault="00F240F0" w:rsidP="00E6383F">
      <w:pPr>
        <w:pStyle w:val="Paragraph"/>
        <w:ind w:left="720"/>
        <w:jc w:val="left"/>
        <w:rPr>
          <w:rFonts w:ascii="Calibri" w:hAnsi="Calibri"/>
          <w:szCs w:val="22"/>
        </w:rPr>
      </w:pPr>
      <w:r w:rsidRPr="006D7459">
        <w:rPr>
          <w:rFonts w:ascii="Calibri" w:hAnsi="Calibri"/>
          <w:szCs w:val="22"/>
        </w:rPr>
        <w:t>Personal data, or personal information, means any information about an individual from which that person can be identified. It does not include data where the identity has been removed (anonymous data).</w:t>
      </w:r>
    </w:p>
    <w:p w14:paraId="5C943119" w14:textId="77777777" w:rsidR="008D2831" w:rsidRPr="006D7459" w:rsidRDefault="00F240F0" w:rsidP="00E6383F">
      <w:pPr>
        <w:pStyle w:val="IgnoredSpacing"/>
        <w:ind w:left="720"/>
        <w:rPr>
          <w:rFonts w:ascii="Calibri" w:hAnsi="Calibri"/>
          <w:sz w:val="22"/>
          <w:szCs w:val="22"/>
        </w:rPr>
      </w:pPr>
      <w:r w:rsidRPr="006D7459">
        <w:rPr>
          <w:rFonts w:ascii="Calibri" w:hAnsi="Calibri"/>
          <w:sz w:val="22"/>
          <w:szCs w:val="22"/>
        </w:rPr>
        <w:t>There are "special categories" of more sensitive personal data which require a higher level of protection.</w:t>
      </w:r>
    </w:p>
    <w:p w14:paraId="3C2C61F3" w14:textId="77777777" w:rsidR="008D2831" w:rsidRPr="006D7459" w:rsidRDefault="008D2831" w:rsidP="008D2831">
      <w:pPr>
        <w:pStyle w:val="ParaClause"/>
        <w:rPr>
          <w:rFonts w:ascii="Calibri" w:hAnsi="Calibri"/>
          <w:szCs w:val="22"/>
        </w:rPr>
      </w:pPr>
      <w:r w:rsidRPr="006D7459">
        <w:rPr>
          <w:rFonts w:ascii="Calibri" w:hAnsi="Calibri"/>
          <w:szCs w:val="22"/>
        </w:rPr>
        <w:t>We may collect, store, and use the following categories of personal information about you:</w:t>
      </w:r>
    </w:p>
    <w:p w14:paraId="0DB68744" w14:textId="77777777" w:rsidR="00F452DD" w:rsidRPr="006D7459" w:rsidRDefault="008D2831" w:rsidP="00035F5A">
      <w:pPr>
        <w:pStyle w:val="subclause1Bullet1"/>
        <w:spacing w:before="120"/>
        <w:ind w:left="1080"/>
        <w:rPr>
          <w:rFonts w:ascii="Calibri" w:hAnsi="Calibri"/>
          <w:szCs w:val="22"/>
        </w:rPr>
      </w:pPr>
      <w:r w:rsidRPr="006D7459">
        <w:rPr>
          <w:rFonts w:ascii="Calibri" w:hAnsi="Calibri"/>
          <w:szCs w:val="22"/>
        </w:rPr>
        <w:t>Personal contact details such as name, title, addresses, telephone numbers, and personal email addresses.</w:t>
      </w:r>
    </w:p>
    <w:p w14:paraId="2E6FE2F8" w14:textId="77777777" w:rsidR="008D2831" w:rsidRPr="006D7459" w:rsidRDefault="008D2831" w:rsidP="00035F5A">
      <w:pPr>
        <w:pStyle w:val="subclause1Bullet1"/>
        <w:spacing w:before="120"/>
        <w:ind w:left="1080"/>
        <w:rPr>
          <w:rFonts w:ascii="Calibri" w:hAnsi="Calibri"/>
          <w:szCs w:val="22"/>
        </w:rPr>
      </w:pPr>
      <w:r w:rsidRPr="006D7459">
        <w:rPr>
          <w:rFonts w:ascii="Calibri" w:hAnsi="Calibri"/>
          <w:szCs w:val="22"/>
        </w:rPr>
        <w:t>Date of birth.</w:t>
      </w:r>
    </w:p>
    <w:p w14:paraId="1562FE77" w14:textId="77777777" w:rsidR="008D2831" w:rsidRPr="006D7459" w:rsidRDefault="008D2831" w:rsidP="00035F5A">
      <w:pPr>
        <w:pStyle w:val="subclause1Bullet1"/>
        <w:spacing w:before="120"/>
        <w:ind w:left="1080"/>
        <w:rPr>
          <w:rFonts w:ascii="Calibri" w:hAnsi="Calibri"/>
          <w:szCs w:val="22"/>
        </w:rPr>
      </w:pPr>
      <w:r w:rsidRPr="006D7459">
        <w:rPr>
          <w:rFonts w:ascii="Calibri" w:hAnsi="Calibri"/>
          <w:szCs w:val="22"/>
        </w:rPr>
        <w:t>Gender.</w:t>
      </w:r>
    </w:p>
    <w:p w14:paraId="11C8E1D1" w14:textId="77777777" w:rsidR="008D2831" w:rsidRDefault="008D2831" w:rsidP="00035F5A">
      <w:pPr>
        <w:pStyle w:val="subclause1Bullet1"/>
        <w:spacing w:before="120"/>
        <w:ind w:left="1080"/>
      </w:pPr>
      <w:r w:rsidRPr="006D7459">
        <w:rPr>
          <w:rFonts w:ascii="Calibri" w:hAnsi="Calibri"/>
        </w:rPr>
        <w:t>Marital status and dependants</w:t>
      </w:r>
      <w:r>
        <w:t>.</w:t>
      </w:r>
    </w:p>
    <w:p w14:paraId="628BC672" w14:textId="77777777" w:rsidR="008D2831" w:rsidRPr="006D7459" w:rsidRDefault="008D2831" w:rsidP="00035F5A">
      <w:pPr>
        <w:pStyle w:val="subclause1Bullet1"/>
        <w:spacing w:before="120"/>
        <w:ind w:left="1080"/>
        <w:rPr>
          <w:rFonts w:ascii="Calibri" w:hAnsi="Calibri"/>
        </w:rPr>
      </w:pPr>
      <w:r w:rsidRPr="006D7459">
        <w:rPr>
          <w:rFonts w:ascii="Calibri" w:hAnsi="Calibri"/>
        </w:rPr>
        <w:t>Next of kin and emergency contact information.</w:t>
      </w:r>
    </w:p>
    <w:p w14:paraId="2748F41C" w14:textId="77777777" w:rsidR="008D2831" w:rsidRPr="006D7459" w:rsidRDefault="008D2831" w:rsidP="00035F5A">
      <w:pPr>
        <w:pStyle w:val="subclause1Bullet1"/>
        <w:spacing w:before="120"/>
        <w:ind w:left="1080"/>
        <w:rPr>
          <w:rFonts w:ascii="Calibri" w:hAnsi="Calibri"/>
        </w:rPr>
      </w:pPr>
      <w:r w:rsidRPr="006D7459">
        <w:rPr>
          <w:rFonts w:ascii="Calibri" w:hAnsi="Calibri"/>
        </w:rPr>
        <w:t>National Insurance number.</w:t>
      </w:r>
    </w:p>
    <w:p w14:paraId="34C990D7" w14:textId="77777777" w:rsidR="008D2831" w:rsidRPr="006D7459" w:rsidRDefault="008D2831" w:rsidP="00035F5A">
      <w:pPr>
        <w:pStyle w:val="subclause1Bullet1"/>
        <w:spacing w:before="120"/>
        <w:ind w:left="1080"/>
        <w:rPr>
          <w:rFonts w:ascii="Calibri" w:hAnsi="Calibri"/>
        </w:rPr>
      </w:pPr>
      <w:r w:rsidRPr="006D7459">
        <w:rPr>
          <w:rFonts w:ascii="Calibri" w:hAnsi="Calibri"/>
        </w:rPr>
        <w:t>Bank account details, payroll records and tax status information.</w:t>
      </w:r>
    </w:p>
    <w:p w14:paraId="33C66A90" w14:textId="77777777" w:rsidR="008D2831" w:rsidRPr="006D7459" w:rsidRDefault="008D2831" w:rsidP="00035F5A">
      <w:pPr>
        <w:pStyle w:val="subclause1Bullet1"/>
        <w:spacing w:before="120"/>
        <w:ind w:left="1080"/>
        <w:rPr>
          <w:rFonts w:ascii="Calibri" w:hAnsi="Calibri"/>
        </w:rPr>
      </w:pPr>
      <w:r w:rsidRPr="006D7459">
        <w:rPr>
          <w:rFonts w:ascii="Calibri" w:hAnsi="Calibri"/>
        </w:rPr>
        <w:t>Salary, annual leave, pension and benefits information.</w:t>
      </w:r>
    </w:p>
    <w:p w14:paraId="4A16AF4F" w14:textId="77777777" w:rsidR="008D2831" w:rsidRPr="006D7459" w:rsidRDefault="008D2831" w:rsidP="00035F5A">
      <w:pPr>
        <w:pStyle w:val="subclause1Bullet1"/>
        <w:spacing w:before="120"/>
        <w:ind w:left="1080"/>
        <w:rPr>
          <w:rFonts w:ascii="Calibri" w:hAnsi="Calibri"/>
        </w:rPr>
      </w:pPr>
      <w:r w:rsidRPr="006D7459">
        <w:rPr>
          <w:rFonts w:ascii="Calibri" w:hAnsi="Calibri"/>
        </w:rPr>
        <w:t>Location of employment or workplace.</w:t>
      </w:r>
    </w:p>
    <w:p w14:paraId="63503CA5" w14:textId="4D6D786A" w:rsidR="008D2831" w:rsidRDefault="008D2831" w:rsidP="00035F5A">
      <w:pPr>
        <w:pStyle w:val="subclause1Bullet1"/>
        <w:spacing w:before="120"/>
        <w:ind w:left="1080"/>
        <w:rPr>
          <w:rFonts w:ascii="Calibri" w:hAnsi="Calibri"/>
        </w:rPr>
      </w:pPr>
      <w:r w:rsidRPr="006D7459">
        <w:rPr>
          <w:rFonts w:ascii="Calibri" w:hAnsi="Calibri"/>
        </w:rPr>
        <w:t>Copy of driving licence.</w:t>
      </w:r>
    </w:p>
    <w:p w14:paraId="7BB155C4" w14:textId="4F12A0B6" w:rsidR="00366028" w:rsidRPr="006D7459" w:rsidRDefault="00366028" w:rsidP="00035F5A">
      <w:pPr>
        <w:pStyle w:val="subclause1Bullet1"/>
        <w:spacing w:before="120"/>
        <w:ind w:left="1080"/>
        <w:rPr>
          <w:rFonts w:ascii="Calibri" w:hAnsi="Calibri"/>
        </w:rPr>
      </w:pPr>
      <w:r>
        <w:rPr>
          <w:rFonts w:ascii="Calibri" w:hAnsi="Calibri"/>
        </w:rPr>
        <w:t>Copy of passport</w:t>
      </w:r>
    </w:p>
    <w:p w14:paraId="183362B5" w14:textId="77777777" w:rsidR="008D2831" w:rsidRPr="006D7459" w:rsidRDefault="008D2831" w:rsidP="00035F5A">
      <w:pPr>
        <w:pStyle w:val="subclause1Bullet1"/>
        <w:spacing w:before="120"/>
        <w:ind w:left="1080"/>
        <w:rPr>
          <w:rFonts w:ascii="Calibri" w:hAnsi="Calibri"/>
        </w:rPr>
      </w:pPr>
      <w:r w:rsidRPr="006D7459">
        <w:rPr>
          <w:rFonts w:ascii="Calibri" w:hAnsi="Calibri"/>
        </w:rPr>
        <w:t>Recruitment information (including copies of right to work documentation, references and other information included in a CV or cover letter or as part of the application process).</w:t>
      </w:r>
    </w:p>
    <w:p w14:paraId="065E684A" w14:textId="77777777" w:rsidR="008D2831" w:rsidRPr="006D7459" w:rsidRDefault="008D2831" w:rsidP="00035F5A">
      <w:pPr>
        <w:pStyle w:val="subclause1Bullet1"/>
        <w:spacing w:before="120"/>
        <w:ind w:left="1080"/>
        <w:rPr>
          <w:rFonts w:ascii="Calibri" w:hAnsi="Calibri"/>
        </w:rPr>
      </w:pPr>
      <w:r w:rsidRPr="006D7459">
        <w:rPr>
          <w:rFonts w:ascii="Calibri" w:hAnsi="Calibri"/>
        </w:rPr>
        <w:t>Employment records (including job titles, work history, working hours, training records and professional memberships).</w:t>
      </w:r>
    </w:p>
    <w:p w14:paraId="6ED38AA3" w14:textId="77777777" w:rsidR="008D2831" w:rsidRPr="006D7459" w:rsidRDefault="008D2831" w:rsidP="00035F5A">
      <w:pPr>
        <w:pStyle w:val="subclause1Bullet1"/>
        <w:spacing w:before="120"/>
        <w:ind w:left="1080"/>
        <w:rPr>
          <w:rFonts w:ascii="Calibri" w:hAnsi="Calibri"/>
        </w:rPr>
      </w:pPr>
      <w:r w:rsidRPr="006D7459">
        <w:rPr>
          <w:rFonts w:ascii="Calibri" w:hAnsi="Calibri"/>
        </w:rPr>
        <w:t>Performance information.</w:t>
      </w:r>
    </w:p>
    <w:p w14:paraId="447A926A" w14:textId="77777777" w:rsidR="008D2831" w:rsidRPr="006D7459" w:rsidRDefault="008D2831" w:rsidP="00035F5A">
      <w:pPr>
        <w:pStyle w:val="subclause1Bullet1"/>
        <w:spacing w:before="120"/>
        <w:ind w:left="1080"/>
        <w:rPr>
          <w:rFonts w:ascii="Calibri" w:hAnsi="Calibri"/>
        </w:rPr>
      </w:pPr>
      <w:r w:rsidRPr="006D7459">
        <w:rPr>
          <w:rFonts w:ascii="Calibri" w:hAnsi="Calibri"/>
        </w:rPr>
        <w:t>Disciplinary and grievance information.</w:t>
      </w:r>
    </w:p>
    <w:p w14:paraId="2D4FC872" w14:textId="18AC51CB" w:rsidR="008D2831" w:rsidRPr="006D7459" w:rsidRDefault="008D2831" w:rsidP="00035F5A">
      <w:pPr>
        <w:pStyle w:val="subclause1Bullet1"/>
        <w:spacing w:before="120"/>
        <w:ind w:left="1080"/>
        <w:rPr>
          <w:rFonts w:ascii="Calibri" w:hAnsi="Calibri"/>
        </w:rPr>
      </w:pPr>
      <w:r w:rsidRPr="006D7459">
        <w:rPr>
          <w:rFonts w:ascii="Calibri" w:hAnsi="Calibri"/>
        </w:rPr>
        <w:t>CCTV footage and other information obtained through electronic means such as swipe</w:t>
      </w:r>
      <w:r w:rsidR="00366028">
        <w:rPr>
          <w:rFonts w:ascii="Calibri" w:hAnsi="Calibri"/>
        </w:rPr>
        <w:t xml:space="preserve"> </w:t>
      </w:r>
      <w:r w:rsidRPr="006D7459">
        <w:rPr>
          <w:rFonts w:ascii="Calibri" w:hAnsi="Calibri"/>
        </w:rPr>
        <w:t>card records.</w:t>
      </w:r>
    </w:p>
    <w:p w14:paraId="68C99261" w14:textId="77777777" w:rsidR="008D2831" w:rsidRPr="006D7459" w:rsidRDefault="008D2831" w:rsidP="00035F5A">
      <w:pPr>
        <w:pStyle w:val="subclause1Bullet1"/>
        <w:spacing w:before="120"/>
        <w:ind w:left="1080"/>
        <w:rPr>
          <w:rFonts w:ascii="Calibri" w:hAnsi="Calibri"/>
        </w:rPr>
      </w:pPr>
      <w:r w:rsidRPr="006D7459">
        <w:rPr>
          <w:rFonts w:ascii="Calibri" w:hAnsi="Calibri"/>
        </w:rPr>
        <w:t>Information about your use of our information and communications systems.</w:t>
      </w:r>
    </w:p>
    <w:p w14:paraId="668C1737" w14:textId="144B3348" w:rsidR="00366028" w:rsidRDefault="008D2831" w:rsidP="00035F5A">
      <w:pPr>
        <w:pStyle w:val="subclause1Bullet1"/>
        <w:spacing w:before="120" w:after="0" w:line="240" w:lineRule="auto"/>
        <w:ind w:left="1080"/>
        <w:rPr>
          <w:rFonts w:ascii="Calibri" w:hAnsi="Calibri"/>
        </w:rPr>
      </w:pPr>
      <w:r w:rsidRPr="00366028">
        <w:rPr>
          <w:rFonts w:ascii="Calibri" w:hAnsi="Calibri"/>
        </w:rPr>
        <w:t>Photographs.</w:t>
      </w:r>
    </w:p>
    <w:p w14:paraId="23FB1066" w14:textId="77777777" w:rsidR="00366028" w:rsidRPr="00366028" w:rsidRDefault="00366028" w:rsidP="00366028">
      <w:pPr>
        <w:pStyle w:val="subclause1Bullet1"/>
        <w:numPr>
          <w:ilvl w:val="0"/>
          <w:numId w:val="0"/>
        </w:numPr>
        <w:spacing w:before="120" w:after="0" w:line="240" w:lineRule="auto"/>
        <w:ind w:left="1077"/>
        <w:rPr>
          <w:rFonts w:ascii="Calibri" w:hAnsi="Calibri"/>
        </w:rPr>
      </w:pPr>
    </w:p>
    <w:p w14:paraId="0F656905" w14:textId="77777777" w:rsidR="008D2831" w:rsidRPr="006D7459" w:rsidRDefault="008D2831" w:rsidP="00366028">
      <w:pPr>
        <w:pStyle w:val="ParaClause"/>
        <w:rPr>
          <w:rFonts w:ascii="Calibri" w:hAnsi="Calibri"/>
        </w:rPr>
      </w:pPr>
      <w:r w:rsidRPr="006D7459">
        <w:rPr>
          <w:rFonts w:ascii="Calibri" w:hAnsi="Calibri"/>
        </w:rPr>
        <w:t>We may also collect, store and use the following "special categories" of more sensitive personal information:</w:t>
      </w:r>
    </w:p>
    <w:p w14:paraId="407A9AB1" w14:textId="77777777" w:rsidR="008D2831" w:rsidRPr="006D7459" w:rsidRDefault="008D2831" w:rsidP="00035F5A">
      <w:pPr>
        <w:pStyle w:val="subclause1Bullet1"/>
        <w:spacing w:before="120"/>
        <w:ind w:left="1080"/>
        <w:rPr>
          <w:rFonts w:ascii="Calibri" w:hAnsi="Calibri"/>
        </w:rPr>
      </w:pPr>
      <w:r w:rsidRPr="006D7459">
        <w:rPr>
          <w:rFonts w:ascii="Calibri" w:hAnsi="Calibri"/>
        </w:rPr>
        <w:t>Information about your race or ethnicity, religious beliefs, sexual orientation and political opinions.</w:t>
      </w:r>
    </w:p>
    <w:p w14:paraId="3A8D42C8" w14:textId="77777777" w:rsidR="008D2831" w:rsidRPr="006D7459" w:rsidRDefault="008D2831" w:rsidP="00035F5A">
      <w:pPr>
        <w:pStyle w:val="subclause1Bullet1"/>
        <w:spacing w:before="120"/>
        <w:ind w:left="1080"/>
        <w:rPr>
          <w:rFonts w:ascii="Calibri" w:hAnsi="Calibri"/>
        </w:rPr>
      </w:pPr>
      <w:r w:rsidRPr="006D7459">
        <w:rPr>
          <w:rFonts w:ascii="Calibri" w:hAnsi="Calibri"/>
        </w:rPr>
        <w:t>Trade union membership.</w:t>
      </w:r>
    </w:p>
    <w:p w14:paraId="5847BB43" w14:textId="77777777" w:rsidR="008D2831" w:rsidRPr="006D7459" w:rsidRDefault="008D2831" w:rsidP="00035F5A">
      <w:pPr>
        <w:pStyle w:val="subclause1Bullet1"/>
        <w:spacing w:before="120"/>
        <w:ind w:left="1080"/>
        <w:rPr>
          <w:rFonts w:ascii="Calibri" w:hAnsi="Calibri"/>
        </w:rPr>
      </w:pPr>
      <w:r w:rsidRPr="006D7459">
        <w:rPr>
          <w:rFonts w:ascii="Calibri" w:hAnsi="Calibri"/>
        </w:rPr>
        <w:t>Information about your health, including any medical condition, health and sickness records.</w:t>
      </w:r>
    </w:p>
    <w:p w14:paraId="52E7D38D" w14:textId="77777777" w:rsidR="008D2831" w:rsidRPr="006D7459" w:rsidRDefault="008D2831" w:rsidP="00035F5A">
      <w:pPr>
        <w:pStyle w:val="subclause1Bullet1"/>
        <w:spacing w:before="120"/>
        <w:ind w:left="1080"/>
        <w:rPr>
          <w:rFonts w:ascii="Calibri" w:hAnsi="Calibri"/>
        </w:rPr>
      </w:pPr>
      <w:r w:rsidRPr="006D7459">
        <w:rPr>
          <w:rFonts w:ascii="Calibri" w:hAnsi="Calibri"/>
        </w:rPr>
        <w:t>Genetic information and biometric data.</w:t>
      </w:r>
    </w:p>
    <w:p w14:paraId="22ABBCBD" w14:textId="77777777" w:rsidR="008D2831" w:rsidRPr="006D7459" w:rsidRDefault="008D2831" w:rsidP="00035F5A">
      <w:pPr>
        <w:pStyle w:val="subclause1Bullet1"/>
        <w:spacing w:before="120"/>
        <w:ind w:left="1080"/>
        <w:rPr>
          <w:rFonts w:ascii="Calibri" w:hAnsi="Calibri"/>
        </w:rPr>
      </w:pPr>
      <w:r w:rsidRPr="006D7459">
        <w:rPr>
          <w:rFonts w:ascii="Calibri" w:hAnsi="Calibri"/>
        </w:rPr>
        <w:t>Information about criminal convictions and offences.</w:t>
      </w:r>
    </w:p>
    <w:p w14:paraId="31746372" w14:textId="77777777" w:rsidR="008D2831" w:rsidRPr="006D7459" w:rsidRDefault="008D2831" w:rsidP="008D2831">
      <w:pPr>
        <w:pStyle w:val="NoNumTitle-Clause"/>
        <w:rPr>
          <w:rFonts w:ascii="Calibri" w:hAnsi="Calibri"/>
        </w:rPr>
      </w:pPr>
      <w:bookmarkStart w:id="4" w:name="a263888"/>
      <w:r w:rsidRPr="006D7459">
        <w:rPr>
          <w:rFonts w:ascii="Calibri" w:hAnsi="Calibri"/>
        </w:rPr>
        <w:lastRenderedPageBreak/>
        <w:t>How is your personal information collected?</w:t>
      </w:r>
      <w:bookmarkEnd w:id="4"/>
    </w:p>
    <w:p w14:paraId="5917DC83" w14:textId="2EF3F5D2" w:rsidR="008D2831" w:rsidRDefault="00052509" w:rsidP="008D2831">
      <w:pPr>
        <w:pStyle w:val="ParaClause"/>
        <w:rPr>
          <w:rFonts w:ascii="Calibri" w:hAnsi="Calibri"/>
        </w:rPr>
      </w:pPr>
      <w:r>
        <w:rPr>
          <w:rFonts w:ascii="Calibri" w:hAnsi="Calibri"/>
        </w:rPr>
        <w:t xml:space="preserve">Recruitment: </w:t>
      </w:r>
      <w:r w:rsidR="008D2831" w:rsidRPr="006D7459">
        <w:rPr>
          <w:rFonts w:ascii="Calibri" w:hAnsi="Calibri"/>
        </w:rPr>
        <w: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w:t>
      </w:r>
      <w:r w:rsidR="00537D51">
        <w:rPr>
          <w:rFonts w:ascii="Calibri" w:hAnsi="Calibri"/>
        </w:rPr>
        <w:t>ther background check agencies</w:t>
      </w:r>
      <w:r w:rsidR="008D2831" w:rsidRPr="006D7459">
        <w:rPr>
          <w:rFonts w:ascii="Calibri" w:hAnsi="Calibri"/>
        </w:rPr>
        <w:t xml:space="preserve">. </w:t>
      </w:r>
    </w:p>
    <w:p w14:paraId="602A3C0C" w14:textId="42E81882" w:rsidR="00052509" w:rsidRPr="006D7459" w:rsidRDefault="00052509" w:rsidP="008D2831">
      <w:pPr>
        <w:pStyle w:val="ParaClause"/>
        <w:rPr>
          <w:rFonts w:ascii="Calibri" w:hAnsi="Calibri"/>
        </w:rPr>
      </w:pPr>
      <w:r>
        <w:rPr>
          <w:rFonts w:ascii="Calibri" w:hAnsi="Calibri"/>
        </w:rPr>
        <w:t>Customers: We collection information for order processing purposes and this may be through our business partners, via the website service offering for end users or as a result of our marketing processes and direct contact through enquiry.  The information passed onto Swype will be protected from unlawful use from outside sources and also will only be accessible by those that have been the authorisation to do so by Swype.</w:t>
      </w:r>
    </w:p>
    <w:p w14:paraId="03736E1A" w14:textId="77777777" w:rsidR="008D2831" w:rsidRPr="006D7459" w:rsidRDefault="008D2831" w:rsidP="008D2831">
      <w:pPr>
        <w:pStyle w:val="NoNumTitle-Clause"/>
        <w:rPr>
          <w:rFonts w:ascii="Calibri" w:hAnsi="Calibri"/>
        </w:rPr>
      </w:pPr>
      <w:bookmarkStart w:id="5" w:name="a599198"/>
      <w:r w:rsidRPr="006D7459">
        <w:rPr>
          <w:rFonts w:ascii="Calibri" w:hAnsi="Calibri"/>
        </w:rPr>
        <w:t>How we will use information about you</w:t>
      </w:r>
      <w:bookmarkEnd w:id="5"/>
    </w:p>
    <w:p w14:paraId="7E538D1F" w14:textId="77777777" w:rsidR="000F720D" w:rsidRPr="006D7459" w:rsidRDefault="000F720D" w:rsidP="000F720D">
      <w:pPr>
        <w:pStyle w:val="Paragraph"/>
        <w:ind w:left="720"/>
        <w:rPr>
          <w:rFonts w:ascii="Calibri" w:hAnsi="Calibri"/>
        </w:rPr>
      </w:pPr>
      <w:r w:rsidRPr="006D7459">
        <w:rPr>
          <w:rFonts w:ascii="Calibri" w:hAnsi="Calibri"/>
        </w:rPr>
        <w:t>We will only use your personal information when the law allows us to. Most commonly, we will use your personal information in the following circumstances:</w:t>
      </w:r>
    </w:p>
    <w:p w14:paraId="6659C882" w14:textId="77777777" w:rsidR="000F720D" w:rsidRPr="006D7459" w:rsidRDefault="000F720D" w:rsidP="000F720D">
      <w:pPr>
        <w:pStyle w:val="Paragraph"/>
        <w:ind w:firstLine="720"/>
        <w:rPr>
          <w:rFonts w:ascii="Calibri" w:hAnsi="Calibri"/>
        </w:rPr>
      </w:pPr>
      <w:r w:rsidRPr="006D7459">
        <w:rPr>
          <w:rFonts w:ascii="Calibri" w:hAnsi="Calibri"/>
        </w:rPr>
        <w:t>1. Where we need to perform the contract we have entered into with you.</w:t>
      </w:r>
    </w:p>
    <w:p w14:paraId="1D6E12F2" w14:textId="77777777" w:rsidR="000F720D" w:rsidRPr="006D7459" w:rsidRDefault="000F720D" w:rsidP="000F720D">
      <w:pPr>
        <w:pStyle w:val="Paragraph"/>
        <w:ind w:firstLine="720"/>
        <w:rPr>
          <w:rFonts w:ascii="Calibri" w:hAnsi="Calibri"/>
        </w:rPr>
      </w:pPr>
      <w:r w:rsidRPr="006D7459">
        <w:rPr>
          <w:rFonts w:ascii="Calibri" w:hAnsi="Calibri"/>
        </w:rPr>
        <w:t>2. Where we need to comply with a legal obligation.</w:t>
      </w:r>
    </w:p>
    <w:p w14:paraId="22D9A116" w14:textId="77777777" w:rsidR="000F720D" w:rsidRPr="006D7459" w:rsidRDefault="000F720D" w:rsidP="000F720D">
      <w:pPr>
        <w:pStyle w:val="Paragraph"/>
        <w:ind w:left="720"/>
        <w:rPr>
          <w:rFonts w:ascii="Calibri" w:hAnsi="Calibri"/>
        </w:rPr>
      </w:pPr>
      <w:r w:rsidRPr="006D7459">
        <w:rPr>
          <w:rFonts w:ascii="Calibri" w:hAnsi="Calibri"/>
        </w:rPr>
        <w:t xml:space="preserve">3. Where it is necessary for our legitimate interests (or those of a third party) and your interests and fundamental rights do not override those interests. </w:t>
      </w:r>
    </w:p>
    <w:p w14:paraId="1205944C" w14:textId="77777777" w:rsidR="000F720D" w:rsidRPr="006D7459" w:rsidRDefault="000F720D" w:rsidP="000F720D">
      <w:pPr>
        <w:pStyle w:val="Paragraph"/>
        <w:ind w:firstLine="720"/>
        <w:rPr>
          <w:rFonts w:ascii="Calibri" w:hAnsi="Calibri"/>
        </w:rPr>
      </w:pPr>
      <w:r w:rsidRPr="006D7459">
        <w:rPr>
          <w:rFonts w:ascii="Calibri" w:hAnsi="Calibri"/>
        </w:rPr>
        <w:t>We may also use your personal information in the following situations, which are likely to be rare:</w:t>
      </w:r>
    </w:p>
    <w:p w14:paraId="7B16F023" w14:textId="77777777" w:rsidR="000F720D" w:rsidRPr="006D7459" w:rsidRDefault="000F720D" w:rsidP="000F720D">
      <w:pPr>
        <w:pStyle w:val="Paragraph"/>
        <w:ind w:firstLine="720"/>
        <w:rPr>
          <w:rFonts w:ascii="Calibri" w:hAnsi="Calibri"/>
        </w:rPr>
      </w:pPr>
      <w:r w:rsidRPr="006D7459">
        <w:rPr>
          <w:rFonts w:ascii="Calibri" w:hAnsi="Calibri"/>
        </w:rPr>
        <w:t>4. Where we need to protect your interests (or someone else's interests).</w:t>
      </w:r>
    </w:p>
    <w:p w14:paraId="3A076853" w14:textId="77777777" w:rsidR="000F720D" w:rsidRPr="006D7459" w:rsidRDefault="00FE38A5" w:rsidP="000F720D">
      <w:pPr>
        <w:pStyle w:val="NoNumTitle-Clause"/>
        <w:rPr>
          <w:rFonts w:ascii="Calibri" w:hAnsi="Calibri"/>
          <w:b w:val="0"/>
        </w:rPr>
      </w:pPr>
      <w:r w:rsidRPr="006D7459">
        <w:rPr>
          <w:rFonts w:ascii="Calibri" w:hAnsi="Calibri"/>
          <w:b w:val="0"/>
        </w:rPr>
        <w:t>5</w:t>
      </w:r>
      <w:r w:rsidR="000F720D" w:rsidRPr="006D7459">
        <w:rPr>
          <w:rFonts w:ascii="Calibri" w:hAnsi="Calibri"/>
          <w:b w:val="0"/>
        </w:rPr>
        <w:t>. Where it is needed in the public interest [or for official purposes].</w:t>
      </w:r>
    </w:p>
    <w:p w14:paraId="493A0A80" w14:textId="77777777" w:rsidR="008D2831" w:rsidRPr="006D7459" w:rsidRDefault="008D2831" w:rsidP="008D2831">
      <w:pPr>
        <w:pStyle w:val="ParaClause"/>
        <w:rPr>
          <w:rFonts w:ascii="Calibri" w:hAnsi="Calibri"/>
          <w:b/>
        </w:rPr>
      </w:pPr>
      <w:r w:rsidRPr="006D7459">
        <w:rPr>
          <w:rFonts w:ascii="Calibri" w:hAnsi="Calibri"/>
          <w:b/>
        </w:rPr>
        <w:t>Situations in which we will use your personal information</w:t>
      </w:r>
    </w:p>
    <w:p w14:paraId="6E46CFA1" w14:textId="71539322" w:rsidR="00FE38A5" w:rsidRPr="00537D51" w:rsidRDefault="008D2831" w:rsidP="00035F5A">
      <w:pPr>
        <w:pStyle w:val="Paragraph"/>
        <w:ind w:left="720"/>
        <w:jc w:val="left"/>
        <w:rPr>
          <w:rFonts w:ascii="Calibri" w:hAnsi="Calibri" w:cs="Calibri"/>
          <w:color w:val="FF0000"/>
        </w:rPr>
      </w:pPr>
      <w:r w:rsidRPr="00537D51">
        <w:rPr>
          <w:rFonts w:ascii="Calibri" w:hAnsi="Calibri" w:cs="Calibri"/>
        </w:rPr>
        <w:t>In some cases</w:t>
      </w:r>
      <w:r w:rsidR="00035F5A">
        <w:rPr>
          <w:rFonts w:ascii="Calibri" w:hAnsi="Calibri" w:cs="Calibri"/>
        </w:rPr>
        <w:t>,</w:t>
      </w:r>
      <w:r w:rsidRPr="00537D51">
        <w:rPr>
          <w:rFonts w:ascii="Calibri" w:hAnsi="Calibri" w:cs="Calibri"/>
        </w:rPr>
        <w:t xml:space="preserve"> we may use your personal information to pursue legitimate interests of our own or those of third </w:t>
      </w:r>
      <w:r w:rsidR="00FE38A5" w:rsidRPr="00537D51">
        <w:rPr>
          <w:rFonts w:ascii="Calibri" w:hAnsi="Calibri" w:cs="Calibri"/>
        </w:rPr>
        <w:t>parties,</w:t>
      </w:r>
      <w:r w:rsidRPr="00537D51">
        <w:rPr>
          <w:rFonts w:ascii="Calibri" w:hAnsi="Calibri" w:cs="Calibri"/>
        </w:rPr>
        <w:t xml:space="preserve"> provided your interests and fundamental rights do not override those interests. The situations in which we will process your personal information are listed below. </w:t>
      </w:r>
    </w:p>
    <w:p w14:paraId="2D985471" w14:textId="03C3D5A2" w:rsidR="008D2831" w:rsidRPr="006D7459" w:rsidRDefault="00035F5A" w:rsidP="00035F5A">
      <w:pPr>
        <w:pStyle w:val="subclause1Bullet1"/>
        <w:spacing w:before="120"/>
        <w:ind w:left="1077" w:hanging="357"/>
        <w:rPr>
          <w:rFonts w:ascii="Calibri" w:hAnsi="Calibri"/>
        </w:rPr>
      </w:pPr>
      <w:r w:rsidRPr="006D7459">
        <w:rPr>
          <w:rFonts w:ascii="Calibri" w:hAnsi="Calibri"/>
        </w:rPr>
        <w:t>Deciding</w:t>
      </w:r>
      <w:r w:rsidR="008D2831" w:rsidRPr="006D7459">
        <w:rPr>
          <w:rFonts w:ascii="Calibri" w:hAnsi="Calibri"/>
        </w:rPr>
        <w:t xml:space="preserve"> about your recruitment or appointment.</w:t>
      </w:r>
    </w:p>
    <w:p w14:paraId="47EC3DC1"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Determining the terms on which you work for us</w:t>
      </w:r>
    </w:p>
    <w:p w14:paraId="4D09F2A0"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Checking you are legally entitled to work in the UK.</w:t>
      </w:r>
    </w:p>
    <w:p w14:paraId="11ADB1FB"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Paying you and, if you are an employee, deducting tax and National Insurance contributions.</w:t>
      </w:r>
    </w:p>
    <w:p w14:paraId="4F919318"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Liaising with your pension provider.</w:t>
      </w:r>
    </w:p>
    <w:p w14:paraId="1EC4E04E"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Administering the contract we have entered into with you.</w:t>
      </w:r>
    </w:p>
    <w:p w14:paraId="01DDC8FC"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Business management and planning, including accounting and auditing.</w:t>
      </w:r>
    </w:p>
    <w:p w14:paraId="34742B50"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Conducting performance reviews, managing performance and determining performance requirements.</w:t>
      </w:r>
    </w:p>
    <w:p w14:paraId="67AE65A4"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Making decisions about salary reviews and compensation.</w:t>
      </w:r>
    </w:p>
    <w:p w14:paraId="287E43A9"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lastRenderedPageBreak/>
        <w:t>Assessing qualifications for a particular job or task, including decisions about promotions.</w:t>
      </w:r>
    </w:p>
    <w:p w14:paraId="0EF66045"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Gathering evidence for possible grievance or disciplinary hearings.</w:t>
      </w:r>
    </w:p>
    <w:p w14:paraId="1CD8018C"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Making decisions about your continued employment or engagement.</w:t>
      </w:r>
    </w:p>
    <w:p w14:paraId="25C02078"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Making arrangements for the termination of our working relationship.</w:t>
      </w:r>
    </w:p>
    <w:p w14:paraId="56AA4F71"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Education, training and development requirements.</w:t>
      </w:r>
    </w:p>
    <w:p w14:paraId="5EB69690" w14:textId="59DE4806" w:rsidR="008D2831" w:rsidRPr="006D7459" w:rsidRDefault="008D2831" w:rsidP="00035F5A">
      <w:pPr>
        <w:pStyle w:val="subclause1Bullet1"/>
        <w:spacing w:before="120"/>
        <w:ind w:left="1077" w:hanging="357"/>
        <w:rPr>
          <w:rFonts w:ascii="Calibri" w:hAnsi="Calibri"/>
        </w:rPr>
      </w:pPr>
      <w:r w:rsidRPr="006D7459">
        <w:rPr>
          <w:rFonts w:ascii="Calibri" w:hAnsi="Calibri"/>
        </w:rPr>
        <w:t xml:space="preserve">Dealing with legal disputes involving you, or other </w:t>
      </w:r>
      <w:r w:rsidR="00035F5A">
        <w:rPr>
          <w:rFonts w:ascii="Calibri" w:hAnsi="Calibri"/>
        </w:rPr>
        <w:t>interested parties</w:t>
      </w:r>
      <w:r w:rsidRPr="006D7459">
        <w:rPr>
          <w:rFonts w:ascii="Calibri" w:hAnsi="Calibri"/>
        </w:rPr>
        <w:t>, including accidents at work.</w:t>
      </w:r>
    </w:p>
    <w:p w14:paraId="1DBAFD76"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Ascertaining your fitness to work.</w:t>
      </w:r>
    </w:p>
    <w:p w14:paraId="299A67F8"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Managing sickness absence.</w:t>
      </w:r>
    </w:p>
    <w:p w14:paraId="23934F3D"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Complying with health and safety obligations.</w:t>
      </w:r>
    </w:p>
    <w:p w14:paraId="6553AF33"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To prevent fraud.</w:t>
      </w:r>
    </w:p>
    <w:p w14:paraId="567521C6"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To monitor your use of our information and communication systems to ensure compliance with our IT policies.</w:t>
      </w:r>
    </w:p>
    <w:p w14:paraId="669D987F"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To ensure network and information security, including preventing unauthorised access to our computer and electronic communications systems and preventing malicious software distribution</w:t>
      </w:r>
    </w:p>
    <w:p w14:paraId="46F02BBC" w14:textId="77777777" w:rsidR="008D2831" w:rsidRPr="006D7459" w:rsidRDefault="008D2831" w:rsidP="00035F5A">
      <w:pPr>
        <w:pStyle w:val="subclause1Bullet1"/>
        <w:spacing w:before="120"/>
        <w:ind w:left="1077" w:hanging="357"/>
        <w:rPr>
          <w:rFonts w:ascii="Calibri" w:hAnsi="Calibri"/>
        </w:rPr>
      </w:pPr>
      <w:r w:rsidRPr="006D7459">
        <w:rPr>
          <w:rFonts w:ascii="Calibri" w:hAnsi="Calibri"/>
        </w:rPr>
        <w:t>To conduct data analytics studies to review and better understand employee retention and attrition rates.</w:t>
      </w:r>
    </w:p>
    <w:p w14:paraId="06CA9ED9" w14:textId="77777777" w:rsidR="008D2831" w:rsidRDefault="008D2831" w:rsidP="00035F5A">
      <w:pPr>
        <w:pStyle w:val="subclause1Bullet1"/>
        <w:spacing w:before="120"/>
        <w:ind w:left="1077" w:hanging="357"/>
        <w:rPr>
          <w:rFonts w:ascii="Calibri" w:hAnsi="Calibri"/>
        </w:rPr>
      </w:pPr>
      <w:r w:rsidRPr="006D7459">
        <w:rPr>
          <w:rFonts w:ascii="Calibri" w:hAnsi="Calibri"/>
        </w:rPr>
        <w:t>Equal opportunities monitoring.</w:t>
      </w:r>
    </w:p>
    <w:p w14:paraId="7BDD4D89" w14:textId="77777777" w:rsidR="008D2831" w:rsidRPr="006D7459" w:rsidRDefault="008D2831" w:rsidP="008D2831">
      <w:pPr>
        <w:pStyle w:val="ParaClause"/>
        <w:rPr>
          <w:rFonts w:ascii="Calibri" w:hAnsi="Calibri"/>
          <w:b/>
        </w:rPr>
      </w:pPr>
      <w:r w:rsidRPr="006D7459">
        <w:rPr>
          <w:rFonts w:ascii="Calibri" w:hAnsi="Calibri"/>
          <w:b/>
        </w:rPr>
        <w:t>If you fail to provide personal information</w:t>
      </w:r>
    </w:p>
    <w:p w14:paraId="73F47C40" w14:textId="570C1FA9" w:rsidR="008D2831" w:rsidRPr="006D7459" w:rsidRDefault="008D2831" w:rsidP="008D2831">
      <w:pPr>
        <w:pStyle w:val="ParaClause"/>
        <w:rPr>
          <w:rFonts w:ascii="Calibri" w:hAnsi="Calibri"/>
        </w:rPr>
      </w:pPr>
      <w:r w:rsidRPr="006D7459">
        <w:rPr>
          <w:rFonts w:ascii="Calibri" w:hAnsi="Calibri"/>
        </w:rPr>
        <w:t>If you fail to provide certain information when requested, we may not be able to perform the contract we have entered into with you, or we may be prevented from complying with our legal obligations.</w:t>
      </w:r>
      <w:r w:rsidR="00035F5A">
        <w:rPr>
          <w:rFonts w:ascii="Calibri" w:hAnsi="Calibri"/>
        </w:rPr>
        <w:t xml:space="preserve">  In the event of any failure of providing relevant information, the justification for terminating the contract will be notified to you in writing. </w:t>
      </w:r>
    </w:p>
    <w:p w14:paraId="054F8A48" w14:textId="77777777" w:rsidR="008D2831" w:rsidRPr="006D7459" w:rsidRDefault="008D2831" w:rsidP="008D2831">
      <w:pPr>
        <w:pStyle w:val="ParaClause"/>
        <w:rPr>
          <w:rFonts w:ascii="Calibri" w:hAnsi="Calibri"/>
          <w:b/>
        </w:rPr>
      </w:pPr>
      <w:r w:rsidRPr="006D7459">
        <w:rPr>
          <w:rFonts w:ascii="Calibri" w:hAnsi="Calibri"/>
          <w:b/>
        </w:rPr>
        <w:t>Change of purpose</w:t>
      </w:r>
    </w:p>
    <w:p w14:paraId="57789657" w14:textId="77777777" w:rsidR="008D2831" w:rsidRPr="006D7459" w:rsidRDefault="008D2831" w:rsidP="008D2831">
      <w:pPr>
        <w:pStyle w:val="ParaClause"/>
        <w:rPr>
          <w:rFonts w:ascii="Calibri" w:hAnsi="Calibri"/>
        </w:rPr>
      </w:pPr>
      <w:r w:rsidRPr="006D7459">
        <w:rPr>
          <w:rFonts w:ascii="Calibri" w:hAnsi="Calibri"/>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r w:rsidR="00D86F12" w:rsidRPr="006D7459">
        <w:rPr>
          <w:rFonts w:ascii="Calibri" w:hAnsi="Calibri"/>
        </w:rPr>
        <w:t>W</w:t>
      </w:r>
      <w:r w:rsidRPr="006D7459">
        <w:rPr>
          <w:rFonts w:ascii="Calibri" w:hAnsi="Calibri"/>
        </w:rPr>
        <w:t>e may process your personal information without your knowledge or consent, in compliance with the above rules, where this is required or permitted by law.</w:t>
      </w:r>
    </w:p>
    <w:p w14:paraId="482C6B8F" w14:textId="77777777" w:rsidR="008D2831" w:rsidRPr="006D7459" w:rsidRDefault="008D2831" w:rsidP="008D2831">
      <w:pPr>
        <w:pStyle w:val="NoNumTitle-Clause"/>
        <w:rPr>
          <w:rFonts w:ascii="Calibri" w:hAnsi="Calibri"/>
        </w:rPr>
      </w:pPr>
      <w:bookmarkStart w:id="6" w:name="a431055"/>
      <w:r w:rsidRPr="006D7459">
        <w:rPr>
          <w:rFonts w:ascii="Calibri" w:hAnsi="Calibri"/>
        </w:rPr>
        <w:t xml:space="preserve">How we use particularly sensitive personal information </w:t>
      </w:r>
      <w:bookmarkEnd w:id="6"/>
    </w:p>
    <w:p w14:paraId="6B2732A0" w14:textId="77777777" w:rsidR="00AF3BBD" w:rsidRPr="006D7459" w:rsidRDefault="00AF3BBD" w:rsidP="00AF3BBD">
      <w:pPr>
        <w:pStyle w:val="Paragraph"/>
        <w:ind w:left="720"/>
        <w:rPr>
          <w:rFonts w:ascii="Calibri" w:hAnsi="Calibri"/>
        </w:rPr>
      </w:pPr>
      <w:r w:rsidRPr="006D7459">
        <w:rPr>
          <w:rFonts w:ascii="Calibri" w:hAnsi="Calibri"/>
        </w:rPr>
        <w:t>"Special categories" of particularly sensitive personal information require higher levels of protection. We may process special categories of personal information in the following circumstances:</w:t>
      </w:r>
    </w:p>
    <w:p w14:paraId="59CE109F" w14:textId="77777777" w:rsidR="00AF3BBD" w:rsidRPr="006D7459" w:rsidRDefault="00AF3BBD" w:rsidP="00AF3BBD">
      <w:pPr>
        <w:pStyle w:val="Paragraph"/>
        <w:ind w:firstLine="720"/>
        <w:rPr>
          <w:rFonts w:ascii="Calibri" w:hAnsi="Calibri"/>
        </w:rPr>
      </w:pPr>
      <w:r w:rsidRPr="006D7459">
        <w:rPr>
          <w:rFonts w:ascii="Calibri" w:hAnsi="Calibri"/>
        </w:rPr>
        <w:t>1. In limited circumstances, with your explicit written consent.</w:t>
      </w:r>
    </w:p>
    <w:p w14:paraId="51607E33" w14:textId="77777777" w:rsidR="00AF3BBD" w:rsidRPr="006D7459" w:rsidRDefault="00AF3BBD" w:rsidP="00AF3BBD">
      <w:pPr>
        <w:pStyle w:val="Paragraph"/>
        <w:ind w:left="720"/>
        <w:rPr>
          <w:rFonts w:ascii="Calibri" w:hAnsi="Calibri"/>
          <w:color w:val="FF0000"/>
        </w:rPr>
      </w:pPr>
      <w:r w:rsidRPr="006D7459">
        <w:rPr>
          <w:rFonts w:ascii="Calibri" w:hAnsi="Calibri"/>
        </w:rPr>
        <w:t xml:space="preserve">2. Where we need to carry out our legal obligations and in line with our </w:t>
      </w:r>
      <w:r w:rsidRPr="006D7459">
        <w:rPr>
          <w:rFonts w:ascii="Calibri" w:hAnsi="Calibri"/>
          <w:color w:val="auto"/>
        </w:rPr>
        <w:t xml:space="preserve">data protection </w:t>
      </w:r>
      <w:r w:rsidR="003D3EF6" w:rsidRPr="006D7459">
        <w:rPr>
          <w:rFonts w:ascii="Calibri" w:hAnsi="Calibri"/>
          <w:color w:val="auto"/>
        </w:rPr>
        <w:t>policy.</w:t>
      </w:r>
    </w:p>
    <w:p w14:paraId="7DD64D94" w14:textId="4217E340" w:rsidR="00AF3BBD" w:rsidRPr="006D7459" w:rsidRDefault="00AF3BBD" w:rsidP="00AF3BBD">
      <w:pPr>
        <w:pStyle w:val="Paragraph"/>
        <w:ind w:left="720"/>
        <w:rPr>
          <w:rFonts w:ascii="Calibri" w:hAnsi="Calibri"/>
        </w:rPr>
      </w:pPr>
      <w:r w:rsidRPr="006D7459">
        <w:rPr>
          <w:rFonts w:ascii="Calibri" w:hAnsi="Calibri"/>
        </w:rPr>
        <w:t xml:space="preserve">3. Where it is needed in the public interest, such as for equal opportunities monitoring, and in line with our data protection </w:t>
      </w:r>
      <w:r w:rsidR="003D3EF6" w:rsidRPr="006D7459">
        <w:rPr>
          <w:rFonts w:ascii="Calibri" w:hAnsi="Calibri"/>
        </w:rPr>
        <w:t>policy.</w:t>
      </w:r>
    </w:p>
    <w:p w14:paraId="216B2BEA" w14:textId="77777777" w:rsidR="00AF3BBD" w:rsidRPr="006D7459" w:rsidRDefault="00AF3BBD" w:rsidP="00AF3BBD">
      <w:pPr>
        <w:pStyle w:val="Paragraph"/>
        <w:ind w:left="720"/>
        <w:rPr>
          <w:rFonts w:ascii="Calibri" w:hAnsi="Calibri"/>
        </w:rPr>
      </w:pPr>
      <w:r w:rsidRPr="006D7459">
        <w:rPr>
          <w:rFonts w:ascii="Calibri" w:hAnsi="Calibri"/>
        </w:rPr>
        <w:lastRenderedPageBreak/>
        <w:t>4. Where it is needed to assess your working capacity on health grounds, subject to appropriate confidentiality safeguards.</w:t>
      </w:r>
    </w:p>
    <w:p w14:paraId="2780814F" w14:textId="77777777" w:rsidR="00AF3BBD" w:rsidRPr="006D7459" w:rsidRDefault="00AF3BBD" w:rsidP="00AF3BBD">
      <w:pPr>
        <w:pStyle w:val="NoNumTitle-Clause"/>
        <w:rPr>
          <w:rFonts w:ascii="Calibri" w:hAnsi="Calibri"/>
          <w:b w:val="0"/>
        </w:rPr>
      </w:pPr>
      <w:r w:rsidRPr="006D7459">
        <w:rPr>
          <w:rFonts w:ascii="Calibri" w:hAnsi="Calibri"/>
          <w:b w:val="0"/>
        </w:rPr>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p w14:paraId="07ED6A40" w14:textId="77777777" w:rsidR="008D2831" w:rsidRPr="006D7459" w:rsidRDefault="008D2831" w:rsidP="008D2831">
      <w:pPr>
        <w:pStyle w:val="ParaClause"/>
        <w:rPr>
          <w:rFonts w:ascii="Calibri" w:hAnsi="Calibri"/>
          <w:b/>
        </w:rPr>
      </w:pPr>
      <w:r w:rsidRPr="006D7459">
        <w:rPr>
          <w:rFonts w:ascii="Calibri" w:hAnsi="Calibri"/>
          <w:b/>
        </w:rPr>
        <w:t>Our obligations as an employer</w:t>
      </w:r>
    </w:p>
    <w:p w14:paraId="3A11D5B8" w14:textId="77777777" w:rsidR="008D2831" w:rsidRPr="006D7459" w:rsidRDefault="008D2831" w:rsidP="008D2831">
      <w:pPr>
        <w:pStyle w:val="ParaClause"/>
        <w:rPr>
          <w:rFonts w:ascii="Calibri" w:hAnsi="Calibri"/>
        </w:rPr>
      </w:pPr>
      <w:r w:rsidRPr="006D7459">
        <w:rPr>
          <w:rFonts w:ascii="Calibri" w:hAnsi="Calibri"/>
        </w:rPr>
        <w:t>We will use your particularly sensitive personal information in the following ways:</w:t>
      </w:r>
    </w:p>
    <w:p w14:paraId="5940BDB9" w14:textId="77777777" w:rsidR="008D2831" w:rsidRPr="006D7459" w:rsidRDefault="008D2831" w:rsidP="00035F5A">
      <w:pPr>
        <w:pStyle w:val="subclause1Bullet1"/>
        <w:spacing w:before="120"/>
        <w:rPr>
          <w:rFonts w:ascii="Calibri" w:hAnsi="Calibri"/>
        </w:rPr>
      </w:pPr>
      <w:r w:rsidRPr="006D7459">
        <w:rPr>
          <w:rFonts w:ascii="Calibri" w:hAnsi="Calibri"/>
        </w:rPr>
        <w:t>We will use information relating to leaves of absence, which may include sickness absence or family related leaves, to comply with employment and other laws.</w:t>
      </w:r>
    </w:p>
    <w:p w14:paraId="23BB3FCB" w14:textId="77777777" w:rsidR="008D2831" w:rsidRPr="006D7459" w:rsidRDefault="008D2831" w:rsidP="00035F5A">
      <w:pPr>
        <w:pStyle w:val="subclause1Bullet1"/>
        <w:spacing w:before="120"/>
        <w:rPr>
          <w:rFonts w:ascii="Calibri" w:hAnsi="Calibri"/>
        </w:rPr>
      </w:pPr>
      <w:r w:rsidRPr="006D7459">
        <w:rPr>
          <w:rFonts w:ascii="Calibri" w:hAnsi="Calibri"/>
        </w:rPr>
        <w:t>We will use information about your physical or mental health, or disability status, to ensure your health and safety in the workplace and to assess your fitness to work, to provide appropriate workplace adjustments, to monitor and manage sickness absence and to administer benefits.</w:t>
      </w:r>
    </w:p>
    <w:p w14:paraId="618B2390" w14:textId="77777777" w:rsidR="008D2831" w:rsidRPr="006D7459" w:rsidRDefault="008D2831" w:rsidP="00035F5A">
      <w:pPr>
        <w:pStyle w:val="subclause1Bullet1"/>
        <w:spacing w:before="120"/>
        <w:rPr>
          <w:rFonts w:ascii="Calibri" w:hAnsi="Calibri"/>
        </w:rPr>
      </w:pPr>
      <w:r w:rsidRPr="006D7459">
        <w:rPr>
          <w:rFonts w:ascii="Calibri" w:hAnsi="Calibri"/>
        </w:rPr>
        <w:t xml:space="preserve">We will use information about your race or national or ethnic origin, religious, philosophical or moral beliefs, or your sexual life or sexual orientation, to ensure meaningful equal opportunity monitoring and reporting. </w:t>
      </w:r>
    </w:p>
    <w:p w14:paraId="31E03CD4" w14:textId="77777777" w:rsidR="008D2831" w:rsidRPr="006D7459" w:rsidRDefault="008D2831" w:rsidP="008D2831">
      <w:pPr>
        <w:pStyle w:val="ParaClause"/>
        <w:rPr>
          <w:rFonts w:ascii="Calibri" w:hAnsi="Calibri"/>
          <w:b/>
        </w:rPr>
      </w:pPr>
      <w:r w:rsidRPr="006D7459">
        <w:rPr>
          <w:rFonts w:ascii="Calibri" w:hAnsi="Calibri"/>
          <w:b/>
        </w:rPr>
        <w:t>Do we need your consent?</w:t>
      </w:r>
    </w:p>
    <w:p w14:paraId="028A71FA" w14:textId="7D6F31A7" w:rsidR="008D2831" w:rsidRPr="006D7459" w:rsidRDefault="008D2831" w:rsidP="008D2831">
      <w:pPr>
        <w:pStyle w:val="ParaClause"/>
        <w:rPr>
          <w:rFonts w:ascii="Calibri" w:hAnsi="Calibri"/>
        </w:rPr>
      </w:pPr>
      <w:r w:rsidRPr="006D7459">
        <w:rPr>
          <w:rFonts w:ascii="Calibri" w:hAnsi="Calibri"/>
        </w:rPr>
        <w:t xml:space="preserve">We do not need your consent if we use special categories of your personal information in accordance with our written policy to carry out our legal obligations or exercise specific rights in the field of </w:t>
      </w:r>
      <w:r w:rsidR="00C12F1C">
        <w:rPr>
          <w:rFonts w:ascii="Calibri" w:hAnsi="Calibri"/>
        </w:rPr>
        <w:t>national security or fraudulent activity</w:t>
      </w:r>
      <w:r w:rsidRPr="006D7459">
        <w:rPr>
          <w:rFonts w:ascii="Calibri" w:hAnsi="Calibri"/>
        </w:rPr>
        <w:t xml:space="preserve">.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t>
      </w:r>
      <w:r w:rsidR="00C12F1C">
        <w:rPr>
          <w:rFonts w:ascii="Calibri" w:hAnsi="Calibri"/>
        </w:rPr>
        <w:t xml:space="preserve">or commercial contract </w:t>
      </w:r>
      <w:r w:rsidRPr="006D7459">
        <w:rPr>
          <w:rFonts w:ascii="Calibri" w:hAnsi="Calibri"/>
        </w:rPr>
        <w:t>with us that you agree to any request for consent from us.</w:t>
      </w:r>
    </w:p>
    <w:p w14:paraId="144338F3" w14:textId="77777777" w:rsidR="008D2831" w:rsidRPr="00537D51" w:rsidRDefault="008D2831" w:rsidP="008D2831">
      <w:pPr>
        <w:pStyle w:val="NoNumTitle-Clause"/>
        <w:rPr>
          <w:rFonts w:ascii="Calibri" w:hAnsi="Calibri"/>
          <w:color w:val="auto"/>
        </w:rPr>
      </w:pPr>
      <w:bookmarkStart w:id="7" w:name="a871922"/>
      <w:r w:rsidRPr="00537D51">
        <w:rPr>
          <w:rFonts w:ascii="Calibri" w:hAnsi="Calibri"/>
          <w:color w:val="auto"/>
        </w:rPr>
        <w:t>Information about criminal convictions</w:t>
      </w:r>
      <w:bookmarkEnd w:id="7"/>
    </w:p>
    <w:p w14:paraId="71EC6D70" w14:textId="77777777" w:rsidR="00B95918" w:rsidRPr="00537D51" w:rsidRDefault="00B95918" w:rsidP="00B95918">
      <w:pPr>
        <w:pStyle w:val="Paragraph"/>
        <w:ind w:left="720"/>
        <w:rPr>
          <w:rFonts w:ascii="Calibri" w:hAnsi="Calibri"/>
          <w:color w:val="auto"/>
        </w:rPr>
      </w:pPr>
      <w:bookmarkStart w:id="8" w:name="a784736"/>
      <w:bookmarkEnd w:id="8"/>
      <w:r w:rsidRPr="00537D51">
        <w:rPr>
          <w:rFonts w:ascii="Calibri" w:hAnsi="Calibri"/>
          <w:color w:val="auto"/>
        </w:rPr>
        <w:t xml:space="preserve">We may only use information relating to criminal convictions where the law allows us to do so. This will usually be where such processing is necessary to carry out our obligations and provided we do so in line with our </w:t>
      </w:r>
      <w:r w:rsidR="00537D51">
        <w:rPr>
          <w:rFonts w:ascii="Calibri" w:hAnsi="Calibri"/>
          <w:color w:val="auto"/>
        </w:rPr>
        <w:t xml:space="preserve">policy.  </w:t>
      </w:r>
    </w:p>
    <w:p w14:paraId="162F4425" w14:textId="77777777" w:rsidR="008D2831" w:rsidRPr="006D7459" w:rsidRDefault="008D2831" w:rsidP="008D2831">
      <w:pPr>
        <w:pStyle w:val="NoNumTitle-Clause"/>
        <w:rPr>
          <w:rFonts w:ascii="Calibri" w:hAnsi="Calibri"/>
          <w:szCs w:val="22"/>
        </w:rPr>
      </w:pPr>
      <w:bookmarkStart w:id="9" w:name="a831080"/>
      <w:r w:rsidRPr="006D7459">
        <w:rPr>
          <w:rFonts w:ascii="Calibri" w:hAnsi="Calibri"/>
          <w:szCs w:val="22"/>
        </w:rPr>
        <w:t>Data sharing</w:t>
      </w:r>
      <w:bookmarkEnd w:id="9"/>
    </w:p>
    <w:p w14:paraId="2E560CFE" w14:textId="154292CC" w:rsidR="008D2831" w:rsidRPr="006D7459" w:rsidRDefault="00275975" w:rsidP="003D640D">
      <w:pPr>
        <w:pStyle w:val="Paragraph"/>
        <w:ind w:left="720"/>
        <w:rPr>
          <w:rFonts w:ascii="Calibri" w:hAnsi="Calibri"/>
        </w:rPr>
      </w:pPr>
      <w:r w:rsidRPr="006D7459">
        <w:rPr>
          <w:rFonts w:ascii="Calibri" w:hAnsi="Calibri"/>
          <w:szCs w:val="22"/>
        </w:rPr>
        <w:t>We may have to share your data with third parties, including third-party service providers</w:t>
      </w:r>
      <w:r w:rsidR="003D640D" w:rsidRPr="006D7459">
        <w:rPr>
          <w:rFonts w:ascii="Calibri" w:hAnsi="Calibri"/>
          <w:szCs w:val="22"/>
        </w:rPr>
        <w:t xml:space="preserve">. </w:t>
      </w:r>
      <w:r w:rsidRPr="006D7459">
        <w:rPr>
          <w:rFonts w:ascii="Calibri" w:hAnsi="Calibri"/>
          <w:szCs w:val="22"/>
        </w:rPr>
        <w:t>We require third parties to respect the security of your data and to treat it in accordance with the law.</w:t>
      </w:r>
      <w:r w:rsidR="003D640D" w:rsidRPr="006D7459">
        <w:rPr>
          <w:rFonts w:ascii="Calibri" w:hAnsi="Calibri"/>
          <w:szCs w:val="22"/>
        </w:rPr>
        <w:t xml:space="preserve"> </w:t>
      </w:r>
      <w:r w:rsidR="008D2831" w:rsidRPr="006D7459">
        <w:rPr>
          <w:rFonts w:ascii="Calibri" w:hAnsi="Calibri"/>
        </w:rPr>
        <w:t>We may share your personal information</w:t>
      </w:r>
      <w:r w:rsidR="00C12F1C">
        <w:rPr>
          <w:rFonts w:ascii="Calibri" w:hAnsi="Calibri"/>
        </w:rPr>
        <w:t xml:space="preserve"> or that of your interested parties</w:t>
      </w:r>
      <w:r w:rsidR="008D2831" w:rsidRPr="006D7459">
        <w:rPr>
          <w:rFonts w:ascii="Calibri" w:hAnsi="Calibri"/>
        </w:rPr>
        <w:t xml:space="preserve"> where required by law, where it is necessary to administer the working relationship with you or where we have another legitimate interest in doing so. </w:t>
      </w:r>
    </w:p>
    <w:p w14:paraId="363D460A" w14:textId="76460561" w:rsidR="00F80898" w:rsidRPr="006D7459" w:rsidRDefault="008D2831" w:rsidP="008D2831">
      <w:pPr>
        <w:pStyle w:val="ParaClause"/>
        <w:rPr>
          <w:rFonts w:ascii="Calibri" w:hAnsi="Calibri"/>
        </w:rPr>
      </w:pPr>
      <w:r w:rsidRPr="006D7459">
        <w:rPr>
          <w:rFonts w:ascii="Calibri" w:hAnsi="Calibri"/>
        </w:rPr>
        <w:t xml:space="preserve">"Third parties" includes third-party service providers. The following activities are carried out by third-party service providers: </w:t>
      </w:r>
      <w:r w:rsidR="00C12F1C">
        <w:rPr>
          <w:rFonts w:ascii="Calibri" w:hAnsi="Calibri"/>
        </w:rPr>
        <w:t>finance department</w:t>
      </w:r>
      <w:r w:rsidRPr="006D7459">
        <w:rPr>
          <w:rFonts w:ascii="Calibri" w:hAnsi="Calibri"/>
        </w:rPr>
        <w:t>,</w:t>
      </w:r>
      <w:r w:rsidR="00C12F1C">
        <w:rPr>
          <w:rFonts w:ascii="Calibri" w:hAnsi="Calibri"/>
        </w:rPr>
        <w:t xml:space="preserve"> software providers for our business activities, logistic business and </w:t>
      </w:r>
      <w:r w:rsidRPr="006D7459">
        <w:rPr>
          <w:rFonts w:ascii="Calibri" w:hAnsi="Calibri"/>
        </w:rPr>
        <w:t>IT service</w:t>
      </w:r>
      <w:r w:rsidR="00C12F1C">
        <w:rPr>
          <w:rFonts w:ascii="Calibri" w:hAnsi="Calibri"/>
        </w:rPr>
        <w:t xml:space="preserve"> providers</w:t>
      </w:r>
      <w:r w:rsidR="004756F5" w:rsidRPr="006D7459">
        <w:rPr>
          <w:rFonts w:ascii="Calibri" w:hAnsi="Calibri"/>
        </w:rPr>
        <w:t>.</w:t>
      </w:r>
      <w:r w:rsidRPr="006D7459">
        <w:rPr>
          <w:rFonts w:ascii="Calibri" w:hAnsi="Calibri"/>
        </w:rPr>
        <w:t xml:space="preserve"> </w:t>
      </w:r>
    </w:p>
    <w:p w14:paraId="67B4B856" w14:textId="77777777" w:rsidR="008D2831" w:rsidRPr="006D7459" w:rsidRDefault="008D2831" w:rsidP="008D2831">
      <w:pPr>
        <w:pStyle w:val="ParaClause"/>
        <w:rPr>
          <w:rFonts w:ascii="Calibri" w:hAnsi="Calibri"/>
        </w:rPr>
      </w:pPr>
      <w:r w:rsidRPr="006D7459">
        <w:rPr>
          <w:rFonts w:ascii="Calibri" w:hAnsi="Calibri"/>
        </w:rPr>
        <w:lastRenderedPageBreak/>
        <w:t>We do not allow our third-party service providers to use your personal data for their own purposes. We only permit them to process your personal data for specified purposes and in accordance with our instructions.</w:t>
      </w:r>
    </w:p>
    <w:p w14:paraId="1B1098C1" w14:textId="77777777" w:rsidR="008D2831" w:rsidRPr="005C06D6" w:rsidRDefault="008D2831" w:rsidP="008D2831">
      <w:pPr>
        <w:pStyle w:val="NoNumTitle-Clause"/>
        <w:rPr>
          <w:rFonts w:ascii="Calibri" w:hAnsi="Calibri"/>
          <w:sz w:val="24"/>
          <w:szCs w:val="24"/>
        </w:rPr>
      </w:pPr>
      <w:bookmarkStart w:id="10" w:name="a963338"/>
      <w:r w:rsidRPr="005C06D6">
        <w:rPr>
          <w:rFonts w:ascii="Calibri" w:hAnsi="Calibri"/>
          <w:sz w:val="24"/>
          <w:szCs w:val="24"/>
        </w:rPr>
        <w:t>Data security</w:t>
      </w:r>
      <w:bookmarkEnd w:id="10"/>
    </w:p>
    <w:p w14:paraId="6F2A8F5B" w14:textId="5D46C38C" w:rsidR="002F20F4" w:rsidRPr="00787374" w:rsidRDefault="002F20F4" w:rsidP="002F20F4">
      <w:pPr>
        <w:pStyle w:val="ParaClause"/>
        <w:rPr>
          <w:rFonts w:ascii="Calibri" w:hAnsi="Calibri"/>
        </w:rPr>
      </w:pPr>
      <w:r w:rsidRPr="002F20F4">
        <w:rPr>
          <w:rFonts w:ascii="Calibri" w:hAnsi="Calibri"/>
        </w:rPr>
        <w:t>Swype</w:t>
      </w:r>
      <w:r w:rsidR="00544249" w:rsidRPr="002F20F4">
        <w:rPr>
          <w:rFonts w:ascii="Calibri" w:hAnsi="Calibri"/>
        </w:rPr>
        <w:t xml:space="preserve"> have measures</w:t>
      </w:r>
      <w:r w:rsidRPr="002F20F4">
        <w:rPr>
          <w:rFonts w:ascii="Calibri" w:hAnsi="Calibri"/>
        </w:rPr>
        <w:t xml:space="preserve"> available</w:t>
      </w:r>
      <w:r w:rsidR="00544249" w:rsidRPr="002F20F4">
        <w:rPr>
          <w:rFonts w:ascii="Calibri" w:hAnsi="Calibri"/>
        </w:rPr>
        <w:t xml:space="preserve"> to protect the security of your information</w:t>
      </w:r>
      <w:r w:rsidRPr="002F20F4">
        <w:rPr>
          <w:rFonts w:ascii="Calibri" w:hAnsi="Calibri"/>
        </w:rPr>
        <w:t xml:space="preserve"> </w:t>
      </w:r>
      <w:r>
        <w:rPr>
          <w:rFonts w:ascii="Calibri" w:hAnsi="Calibri"/>
        </w:rPr>
        <w:t xml:space="preserve">received </w:t>
      </w:r>
      <w:r w:rsidRPr="002F20F4">
        <w:rPr>
          <w:rFonts w:ascii="Calibri" w:hAnsi="Calibri"/>
        </w:rPr>
        <w:t xml:space="preserve">where and when it is deemed necessary. </w:t>
      </w:r>
      <w:r w:rsidRPr="00787374">
        <w:rPr>
          <w:rFonts w:ascii="Calibri" w:hAnsi="Calibri"/>
        </w:rPr>
        <w:t xml:space="preserve">Receipt of data, preferably </w:t>
      </w:r>
      <w:r>
        <w:rPr>
          <w:rFonts w:ascii="Calibri" w:hAnsi="Calibri"/>
        </w:rPr>
        <w:t xml:space="preserve">and in your best interests </w:t>
      </w:r>
      <w:r w:rsidRPr="00787374">
        <w:rPr>
          <w:rFonts w:ascii="Calibri" w:hAnsi="Calibri"/>
        </w:rPr>
        <w:t>should not be sent via email, but by secure methods such as FTP2</w:t>
      </w:r>
      <w:r>
        <w:rPr>
          <w:rFonts w:ascii="Calibri" w:hAnsi="Calibri"/>
        </w:rPr>
        <w:t xml:space="preserve"> or</w:t>
      </w:r>
      <w:r w:rsidRPr="00787374">
        <w:rPr>
          <w:rFonts w:ascii="Calibri" w:hAnsi="Calibri"/>
        </w:rPr>
        <w:t xml:space="preserve"> encrypted </w:t>
      </w:r>
      <w:r>
        <w:rPr>
          <w:rFonts w:ascii="Calibri" w:hAnsi="Calibri"/>
        </w:rPr>
        <w:t>with passwords</w:t>
      </w:r>
      <w:r w:rsidRPr="00787374">
        <w:rPr>
          <w:rFonts w:ascii="Calibri" w:hAnsi="Calibri"/>
        </w:rPr>
        <w:t xml:space="preserve">. </w:t>
      </w:r>
      <w:r>
        <w:rPr>
          <w:rFonts w:ascii="Calibri" w:hAnsi="Calibri"/>
        </w:rPr>
        <w:t xml:space="preserve"> </w:t>
      </w:r>
      <w:r w:rsidRPr="00787374">
        <w:rPr>
          <w:rFonts w:ascii="Calibri" w:hAnsi="Calibri"/>
        </w:rPr>
        <w:t>Alternatively any new data must be checked by account managers for accuracy and must also be submitted via secure method, either including password protection or encrypted files. Incorrectly set data will be erased and customers notified to resend correctly</w:t>
      </w:r>
      <w:r>
        <w:rPr>
          <w:rFonts w:ascii="Calibri" w:hAnsi="Calibri"/>
        </w:rPr>
        <w:t>.</w:t>
      </w:r>
    </w:p>
    <w:p w14:paraId="4ECA9270" w14:textId="57620527" w:rsidR="002F20F4" w:rsidRPr="00787374" w:rsidRDefault="002F20F4" w:rsidP="002F20F4">
      <w:pPr>
        <w:pStyle w:val="ParaClause"/>
        <w:rPr>
          <w:rFonts w:ascii="Calibri" w:hAnsi="Calibri"/>
        </w:rPr>
      </w:pPr>
      <w:r>
        <w:rPr>
          <w:rFonts w:ascii="Calibri" w:hAnsi="Calibri"/>
        </w:rPr>
        <w:t>Data which is u</w:t>
      </w:r>
      <w:r w:rsidRPr="00787374">
        <w:rPr>
          <w:rFonts w:ascii="Calibri" w:hAnsi="Calibri"/>
        </w:rPr>
        <w:t xml:space="preserve">nnecessary </w:t>
      </w:r>
      <w:r>
        <w:rPr>
          <w:rFonts w:ascii="Calibri" w:hAnsi="Calibri"/>
        </w:rPr>
        <w:t xml:space="preserve">for the purpose of the service or product </w:t>
      </w:r>
      <w:r w:rsidRPr="00787374">
        <w:rPr>
          <w:rFonts w:ascii="Calibri" w:hAnsi="Calibri"/>
        </w:rPr>
        <w:t xml:space="preserve">should NOT be submitted, only data required to </w:t>
      </w:r>
      <w:r>
        <w:rPr>
          <w:rFonts w:ascii="Calibri" w:hAnsi="Calibri"/>
        </w:rPr>
        <w:t>process order will be required and this may done on a project by project basis</w:t>
      </w:r>
      <w:r w:rsidRPr="00787374">
        <w:rPr>
          <w:rFonts w:ascii="Calibri" w:hAnsi="Calibri"/>
        </w:rPr>
        <w:t>.</w:t>
      </w:r>
    </w:p>
    <w:p w14:paraId="4C60C09B" w14:textId="77777777" w:rsidR="002F20F4" w:rsidRPr="00787374" w:rsidRDefault="002F20F4" w:rsidP="002F20F4">
      <w:pPr>
        <w:pStyle w:val="ParaClause"/>
        <w:rPr>
          <w:rFonts w:ascii="Calibri" w:hAnsi="Calibri"/>
        </w:rPr>
      </w:pPr>
      <w:r w:rsidRPr="00787374">
        <w:rPr>
          <w:rFonts w:ascii="Calibri" w:hAnsi="Calibri"/>
        </w:rPr>
        <w:t>Any printed data must be used to perform work related tasks and destroyed securely once orders have been completed.</w:t>
      </w:r>
    </w:p>
    <w:p w14:paraId="36C9E60E" w14:textId="77777777" w:rsidR="002F20F4" w:rsidRPr="00787374" w:rsidRDefault="002F20F4" w:rsidP="00447FA9">
      <w:pPr>
        <w:numPr>
          <w:ilvl w:val="0"/>
          <w:numId w:val="25"/>
        </w:numPr>
        <w:tabs>
          <w:tab w:val="clear" w:pos="720"/>
          <w:tab w:val="num"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Paper files will be kept in a locked drawer or filing cabinet.</w:t>
      </w:r>
    </w:p>
    <w:p w14:paraId="7A8B8890"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Employees will make sure paper and printouts are not left where unauthorised people could see them.</w:t>
      </w:r>
    </w:p>
    <w:p w14:paraId="56030894"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Data printouts will be shredded and disposed of securely.</w:t>
      </w:r>
    </w:p>
    <w:p w14:paraId="4D6CF0CE"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b/>
          <w:bCs/>
          <w:color w:val="222222"/>
        </w:rPr>
        <w:t>Electronically stored data must be protected</w:t>
      </w:r>
      <w:r w:rsidRPr="00787374">
        <w:rPr>
          <w:rFonts w:asciiTheme="minorHAnsi" w:eastAsia="Times New Roman" w:hAnsiTheme="minorHAnsi" w:cstheme="minorHAnsi"/>
          <w:color w:val="222222"/>
        </w:rPr>
        <w:t> from unauthorised access, accidental deletion or misuse</w:t>
      </w:r>
    </w:p>
    <w:p w14:paraId="675EDCE9"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Electronic data must be reviewed after a set amount of time, please refer to our ‘Timescale Policy’.</w:t>
      </w:r>
    </w:p>
    <w:p w14:paraId="3D4DBAD3" w14:textId="7D1B50AD" w:rsidR="002F20F4" w:rsidRPr="00787374" w:rsidRDefault="005C06D6"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Pr>
          <w:rFonts w:asciiTheme="minorHAnsi" w:eastAsia="Times New Roman" w:hAnsiTheme="minorHAnsi" w:cstheme="minorHAnsi"/>
          <w:color w:val="222222"/>
        </w:rPr>
        <w:t>S</w:t>
      </w:r>
      <w:r w:rsidR="002F20F4" w:rsidRPr="00787374">
        <w:rPr>
          <w:rFonts w:asciiTheme="minorHAnsi" w:eastAsia="Times New Roman" w:hAnsiTheme="minorHAnsi" w:cstheme="minorHAnsi"/>
          <w:color w:val="222222"/>
        </w:rPr>
        <w:t xml:space="preserve">erver and computers containing data </w:t>
      </w:r>
      <w:r>
        <w:rPr>
          <w:rFonts w:asciiTheme="minorHAnsi" w:eastAsia="Times New Roman" w:hAnsiTheme="minorHAnsi" w:cstheme="minorHAnsi"/>
          <w:color w:val="222222"/>
        </w:rPr>
        <w:t>are</w:t>
      </w:r>
      <w:r w:rsidR="002F20F4" w:rsidRPr="00787374">
        <w:rPr>
          <w:rFonts w:asciiTheme="minorHAnsi" w:eastAsia="Times New Roman" w:hAnsiTheme="minorHAnsi" w:cstheme="minorHAnsi"/>
          <w:color w:val="222222"/>
        </w:rPr>
        <w:t xml:space="preserve"> protected by an </w:t>
      </w:r>
      <w:r w:rsidR="002F20F4" w:rsidRPr="00787374">
        <w:rPr>
          <w:rFonts w:asciiTheme="minorHAnsi" w:eastAsia="Times New Roman" w:hAnsiTheme="minorHAnsi" w:cstheme="minorHAnsi"/>
          <w:b/>
          <w:bCs/>
          <w:color w:val="222222"/>
        </w:rPr>
        <w:t>approved security software and a firewall.</w:t>
      </w:r>
    </w:p>
    <w:p w14:paraId="6A0504DF"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Data will be backed up frequently.</w:t>
      </w:r>
    </w:p>
    <w:p w14:paraId="5D98BF25" w14:textId="008C1C7E"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Data will not be saved directly to personal laptop or smart devices</w:t>
      </w:r>
      <w:r w:rsidR="005C06D6">
        <w:rPr>
          <w:rFonts w:asciiTheme="minorHAnsi" w:eastAsia="Times New Roman" w:hAnsiTheme="minorHAnsi" w:cstheme="minorHAnsi"/>
          <w:color w:val="222222"/>
        </w:rPr>
        <w:t>.</w:t>
      </w:r>
    </w:p>
    <w:p w14:paraId="47E9CA01"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Data will be stored on designated drives and servers.</w:t>
      </w:r>
    </w:p>
    <w:p w14:paraId="6EF760DA"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Servers containing personal data will be sited in a </w:t>
      </w:r>
      <w:r w:rsidRPr="00787374">
        <w:rPr>
          <w:rFonts w:asciiTheme="minorHAnsi" w:eastAsia="Times New Roman" w:hAnsiTheme="minorHAnsi" w:cstheme="minorHAnsi"/>
          <w:b/>
          <w:bCs/>
          <w:color w:val="222222"/>
        </w:rPr>
        <w:t>secure location</w:t>
      </w:r>
      <w:r w:rsidRPr="00787374">
        <w:rPr>
          <w:rFonts w:asciiTheme="minorHAnsi" w:eastAsia="Times New Roman" w:hAnsiTheme="minorHAnsi" w:cstheme="minorHAnsi"/>
          <w:color w:val="222222"/>
        </w:rPr>
        <w:t>, away from general office space.</w:t>
      </w:r>
    </w:p>
    <w:p w14:paraId="234B78E4" w14:textId="77777777" w:rsidR="002F20F4" w:rsidRPr="00787374" w:rsidRDefault="002F20F4" w:rsidP="00447FA9">
      <w:pPr>
        <w:numPr>
          <w:ilvl w:val="0"/>
          <w:numId w:val="25"/>
        </w:numPr>
        <w:tabs>
          <w:tab w:val="left" w:pos="1134"/>
        </w:tabs>
        <w:spacing w:before="100" w:beforeAutospacing="1" w:after="100" w:afterAutospacing="1" w:line="240" w:lineRule="auto"/>
        <w:ind w:hanging="11"/>
        <w:rPr>
          <w:rFonts w:asciiTheme="minorHAnsi" w:eastAsia="Times New Roman" w:hAnsiTheme="minorHAnsi" w:cstheme="minorHAnsi"/>
          <w:color w:val="222222"/>
        </w:rPr>
      </w:pPr>
      <w:r w:rsidRPr="00787374">
        <w:rPr>
          <w:rFonts w:asciiTheme="minorHAnsi" w:eastAsia="Times New Roman" w:hAnsiTheme="minorHAnsi" w:cstheme="minorHAnsi"/>
          <w:color w:val="222222"/>
        </w:rPr>
        <w:t>Removal of data is organised upon request.</w:t>
      </w:r>
    </w:p>
    <w:p w14:paraId="216999AC" w14:textId="5C46C326" w:rsidR="002F20F4" w:rsidRPr="00787374" w:rsidRDefault="002F20F4" w:rsidP="005C06D6">
      <w:pPr>
        <w:pStyle w:val="ParaClause"/>
        <w:rPr>
          <w:rFonts w:ascii="Calibri" w:hAnsi="Calibri"/>
        </w:rPr>
      </w:pPr>
      <w:r w:rsidRPr="00787374">
        <w:rPr>
          <w:rFonts w:ascii="Calibri" w:hAnsi="Calibri"/>
        </w:rPr>
        <w:t xml:space="preserve">On any occasion </w:t>
      </w:r>
      <w:r w:rsidR="005C06D6">
        <w:rPr>
          <w:rFonts w:ascii="Calibri" w:hAnsi="Calibri"/>
        </w:rPr>
        <w:t>Swype</w:t>
      </w:r>
      <w:r w:rsidRPr="00787374">
        <w:rPr>
          <w:rFonts w:ascii="Calibri" w:hAnsi="Calibri"/>
        </w:rPr>
        <w:t xml:space="preserve"> works as a sub processor all the above rules will be applied.</w:t>
      </w:r>
    </w:p>
    <w:p w14:paraId="130F6002" w14:textId="5930BC41" w:rsidR="008D2831" w:rsidRPr="005C06D6" w:rsidRDefault="005C06D6" w:rsidP="005C06D6">
      <w:pPr>
        <w:pStyle w:val="Paragraph"/>
        <w:ind w:left="720"/>
        <w:rPr>
          <w:rFonts w:ascii="Calibri" w:hAnsi="Calibri"/>
          <w:b/>
          <w:bCs/>
          <w:sz w:val="24"/>
          <w:szCs w:val="22"/>
        </w:rPr>
      </w:pPr>
      <w:bookmarkStart w:id="11" w:name="a395052"/>
      <w:r>
        <w:rPr>
          <w:rFonts w:ascii="Calibri" w:hAnsi="Calibri"/>
          <w:b/>
          <w:bCs/>
          <w:sz w:val="24"/>
          <w:szCs w:val="22"/>
        </w:rPr>
        <w:t>D</w:t>
      </w:r>
      <w:r w:rsidR="008D2831" w:rsidRPr="005C06D6">
        <w:rPr>
          <w:rFonts w:ascii="Calibri" w:hAnsi="Calibri"/>
          <w:b/>
          <w:bCs/>
          <w:sz w:val="24"/>
          <w:szCs w:val="22"/>
        </w:rPr>
        <w:t>ata retention</w:t>
      </w:r>
      <w:bookmarkEnd w:id="11"/>
    </w:p>
    <w:p w14:paraId="4FE2E6F2" w14:textId="77777777" w:rsidR="008D2831" w:rsidRPr="006D7459" w:rsidRDefault="008D2831" w:rsidP="008D2831">
      <w:pPr>
        <w:pStyle w:val="ParaClause"/>
        <w:rPr>
          <w:rFonts w:ascii="Calibri" w:hAnsi="Calibri"/>
        </w:rPr>
      </w:pPr>
      <w:r w:rsidRPr="006D7459">
        <w:rPr>
          <w:rFonts w:ascii="Calibri" w:hAnsi="Calibri"/>
        </w:rPr>
        <w:t xml:space="preserve">We will only retain your personal information for as long as necessary to fulfil the purposes we collected it for, including for the purposes of satisfying any legal, accounting, or reporting requirements </w:t>
      </w:r>
    </w:p>
    <w:p w14:paraId="4EC2B0EC" w14:textId="77777777" w:rsidR="008D2831" w:rsidRPr="006D7459" w:rsidRDefault="008D2831" w:rsidP="008D2831">
      <w:pPr>
        <w:pStyle w:val="NoNumTitle-Clause"/>
        <w:rPr>
          <w:rFonts w:ascii="Calibri" w:hAnsi="Calibri"/>
        </w:rPr>
      </w:pPr>
      <w:bookmarkStart w:id="12" w:name="a754284"/>
      <w:r w:rsidRPr="006D7459">
        <w:rPr>
          <w:rFonts w:ascii="Calibri" w:hAnsi="Calibri"/>
        </w:rPr>
        <w:t xml:space="preserve">Rights of access, correction, erasure, and restriction </w:t>
      </w:r>
      <w:bookmarkEnd w:id="12"/>
    </w:p>
    <w:p w14:paraId="1E0A33DD" w14:textId="77777777" w:rsidR="008D2831" w:rsidRPr="006D7459" w:rsidRDefault="008D2831" w:rsidP="004A53F9">
      <w:pPr>
        <w:pStyle w:val="ParaClause"/>
        <w:ind w:left="0" w:firstLine="720"/>
        <w:rPr>
          <w:rFonts w:ascii="Calibri" w:hAnsi="Calibri"/>
          <w:b/>
        </w:rPr>
      </w:pPr>
      <w:r w:rsidRPr="006D7459">
        <w:rPr>
          <w:rFonts w:ascii="Calibri" w:hAnsi="Calibri"/>
          <w:b/>
        </w:rPr>
        <w:t>Your duty to inform us of changes</w:t>
      </w:r>
    </w:p>
    <w:p w14:paraId="08746EDE" w14:textId="360258BB" w:rsidR="008D2831" w:rsidRPr="006D7459" w:rsidRDefault="008D2831" w:rsidP="004A53F9">
      <w:pPr>
        <w:pStyle w:val="ParaClause"/>
        <w:rPr>
          <w:rFonts w:ascii="Calibri" w:hAnsi="Calibri"/>
        </w:rPr>
      </w:pPr>
      <w:r w:rsidRPr="006D7459">
        <w:rPr>
          <w:rFonts w:ascii="Calibri" w:hAnsi="Calibri"/>
        </w:rPr>
        <w:t>It is important that the personal information we hold about you is accurate and current. Please keep us informed if your personal information changes</w:t>
      </w:r>
      <w:r w:rsidR="00C12F1C">
        <w:rPr>
          <w:rFonts w:ascii="Calibri" w:hAnsi="Calibri"/>
        </w:rPr>
        <w:t xml:space="preserve"> and those of your interested parties</w:t>
      </w:r>
      <w:r w:rsidRPr="006D7459">
        <w:rPr>
          <w:rFonts w:ascii="Calibri" w:hAnsi="Calibri"/>
        </w:rPr>
        <w:t xml:space="preserve"> during your working relationship with us. Under certain circumstances, by law you have the right to:</w:t>
      </w:r>
    </w:p>
    <w:p w14:paraId="75CDFC5C" w14:textId="77777777" w:rsidR="008D2831" w:rsidRPr="006D7459" w:rsidRDefault="008D2831" w:rsidP="008D2831">
      <w:pPr>
        <w:pStyle w:val="subclause1Bullet1"/>
        <w:rPr>
          <w:rFonts w:ascii="Calibri" w:hAnsi="Calibri"/>
        </w:rPr>
      </w:pPr>
      <w:r w:rsidRPr="006D7459">
        <w:rPr>
          <w:rFonts w:ascii="Calibri" w:hAnsi="Calibri"/>
          <w:b/>
        </w:rPr>
        <w:t xml:space="preserve">Request access </w:t>
      </w:r>
      <w:r w:rsidRPr="006D7459">
        <w:rPr>
          <w:rFonts w:ascii="Calibri" w:hAnsi="Calibri"/>
        </w:rPr>
        <w:t>to your personal information (commonly known as a "data subject access request"). This enables you to receive a copy of the personal information we hold about you and to check that we are lawfully processing it.</w:t>
      </w:r>
    </w:p>
    <w:p w14:paraId="7A573AB9" w14:textId="77777777" w:rsidR="008D2831" w:rsidRPr="006D7459" w:rsidRDefault="008D2831" w:rsidP="008D2831">
      <w:pPr>
        <w:pStyle w:val="subclause1Bullet1"/>
        <w:rPr>
          <w:rFonts w:ascii="Calibri" w:hAnsi="Calibri"/>
        </w:rPr>
      </w:pPr>
      <w:r w:rsidRPr="006D7459">
        <w:rPr>
          <w:rFonts w:ascii="Calibri" w:hAnsi="Calibri"/>
          <w:b/>
        </w:rPr>
        <w:lastRenderedPageBreak/>
        <w:t xml:space="preserve">Request correction </w:t>
      </w:r>
      <w:r w:rsidRPr="006D7459">
        <w:rPr>
          <w:rFonts w:ascii="Calibri" w:hAnsi="Calibri"/>
        </w:rPr>
        <w:t>of the personal information that we hold about you. This enables you to have any incomplete or inaccurate information we hold about you corrected.</w:t>
      </w:r>
    </w:p>
    <w:p w14:paraId="7F74BB39" w14:textId="2161BCF1" w:rsidR="008D2831" w:rsidRPr="006D7459" w:rsidRDefault="008D2831" w:rsidP="008D2831">
      <w:pPr>
        <w:pStyle w:val="subclause1Bullet1"/>
        <w:rPr>
          <w:rFonts w:ascii="Calibri" w:hAnsi="Calibri"/>
        </w:rPr>
      </w:pPr>
      <w:r w:rsidRPr="006D7459">
        <w:rPr>
          <w:rFonts w:ascii="Calibri" w:hAnsi="Calibri"/>
          <w:b/>
        </w:rPr>
        <w:t xml:space="preserve">Request erasure </w:t>
      </w:r>
      <w:r w:rsidRPr="006D7459">
        <w:rPr>
          <w:rFonts w:ascii="Calibri" w:hAnsi="Calibri"/>
        </w:rPr>
        <w:t>of your personal information</w:t>
      </w:r>
      <w:r w:rsidR="00B9248F">
        <w:rPr>
          <w:rFonts w:ascii="Calibri" w:hAnsi="Calibri"/>
        </w:rPr>
        <w:t xml:space="preserve"> or that of your interested parties</w:t>
      </w:r>
      <w:r w:rsidRPr="006D7459">
        <w:rPr>
          <w:rFonts w:ascii="Calibri" w:hAnsi="Calibri"/>
        </w:rPr>
        <w:t xml:space="preserve">. This enables you to ask us to delete or remove personal information where there is no good reason for us continuing to process it. You also have the right to ask us to delete or remove your personal information </w:t>
      </w:r>
      <w:r w:rsidR="00B9248F">
        <w:rPr>
          <w:rFonts w:ascii="Calibri" w:hAnsi="Calibri"/>
        </w:rPr>
        <w:t>(or that of your interested parties)</w:t>
      </w:r>
      <w:r w:rsidRPr="006D7459">
        <w:rPr>
          <w:rFonts w:ascii="Calibri" w:hAnsi="Calibri"/>
        </w:rPr>
        <w:t>where you have exercised your right to object to processing (see below).</w:t>
      </w:r>
      <w:r w:rsidR="00C12F1C">
        <w:rPr>
          <w:rFonts w:ascii="Calibri" w:hAnsi="Calibri"/>
        </w:rPr>
        <w:t xml:space="preserve">  </w:t>
      </w:r>
    </w:p>
    <w:p w14:paraId="3C3F68D4" w14:textId="0261D4A7" w:rsidR="008D2831" w:rsidRPr="006D7459" w:rsidRDefault="008D2831" w:rsidP="008D2831">
      <w:pPr>
        <w:pStyle w:val="subclause1Bullet1"/>
        <w:rPr>
          <w:rFonts w:ascii="Calibri" w:hAnsi="Calibri"/>
        </w:rPr>
      </w:pPr>
      <w:r w:rsidRPr="006D7459">
        <w:rPr>
          <w:rFonts w:ascii="Calibri" w:hAnsi="Calibri"/>
          <w:b/>
        </w:rPr>
        <w:t xml:space="preserve">Object to processing </w:t>
      </w:r>
      <w:r w:rsidRPr="006D7459">
        <w:rPr>
          <w:rFonts w:ascii="Calibri" w:hAnsi="Calibri"/>
        </w:rPr>
        <w:t xml:space="preserve">of your personal information where we are relying on a legitimate interest (or those of a third party) and there is something about your particular situation which makes you want to object to processing on this ground. You also have the right to object </w:t>
      </w:r>
      <w:r w:rsidR="00F82367">
        <w:rPr>
          <w:rFonts w:ascii="Calibri" w:hAnsi="Calibri"/>
        </w:rPr>
        <w:t xml:space="preserve">or to unsubscribe from mailing list </w:t>
      </w:r>
      <w:r w:rsidRPr="006D7459">
        <w:rPr>
          <w:rFonts w:ascii="Calibri" w:hAnsi="Calibri"/>
        </w:rPr>
        <w:t>where we are processing your personal information for direct marketing purposes</w:t>
      </w:r>
      <w:r w:rsidR="00C12F1C">
        <w:rPr>
          <w:rFonts w:ascii="Calibri" w:hAnsi="Calibri"/>
        </w:rPr>
        <w:t>.</w:t>
      </w:r>
    </w:p>
    <w:p w14:paraId="67A54EE0" w14:textId="77777777" w:rsidR="008D2831" w:rsidRPr="006D7459" w:rsidRDefault="008D2831" w:rsidP="008D2831">
      <w:pPr>
        <w:pStyle w:val="subclause1Bullet1"/>
        <w:rPr>
          <w:rFonts w:ascii="Calibri" w:hAnsi="Calibri"/>
        </w:rPr>
      </w:pPr>
      <w:r w:rsidRPr="006D7459">
        <w:rPr>
          <w:rFonts w:ascii="Calibri" w:hAnsi="Calibri"/>
          <w:b/>
        </w:rPr>
        <w:t xml:space="preserve">Request the restriction of processing </w:t>
      </w:r>
      <w:r w:rsidRPr="006D7459">
        <w:rPr>
          <w:rFonts w:ascii="Calibri" w:hAnsi="Calibri"/>
        </w:rPr>
        <w:t>of your personal information. This enables you to ask us to suspend the processing of personal information about you, for example if you want us to establish its accuracy or the reason for processing it.</w:t>
      </w:r>
    </w:p>
    <w:p w14:paraId="4BCFDA9D" w14:textId="77777777" w:rsidR="008D2831" w:rsidRPr="006D7459" w:rsidRDefault="008D2831" w:rsidP="008D2831">
      <w:pPr>
        <w:pStyle w:val="subclause1Bullet1"/>
        <w:rPr>
          <w:rFonts w:ascii="Calibri" w:hAnsi="Calibri"/>
        </w:rPr>
      </w:pPr>
      <w:r w:rsidRPr="006D7459">
        <w:rPr>
          <w:rFonts w:ascii="Calibri" w:hAnsi="Calibri"/>
          <w:b/>
        </w:rPr>
        <w:t xml:space="preserve">Request the transfer </w:t>
      </w:r>
      <w:r w:rsidRPr="006D7459">
        <w:rPr>
          <w:rFonts w:ascii="Calibri" w:hAnsi="Calibri"/>
        </w:rPr>
        <w:t xml:space="preserve">of your personal information to another party. </w:t>
      </w:r>
    </w:p>
    <w:p w14:paraId="0002A0D1" w14:textId="77777777" w:rsidR="008D2831" w:rsidRPr="006D7459" w:rsidRDefault="008D2831" w:rsidP="000170B5">
      <w:pPr>
        <w:pStyle w:val="ParaClause"/>
        <w:ind w:left="0" w:firstLine="720"/>
        <w:rPr>
          <w:rFonts w:ascii="Calibri" w:hAnsi="Calibri"/>
          <w:b/>
        </w:rPr>
      </w:pPr>
      <w:r w:rsidRPr="006D7459">
        <w:rPr>
          <w:rFonts w:ascii="Calibri" w:hAnsi="Calibri"/>
          <w:b/>
        </w:rPr>
        <w:t>No fee usually required</w:t>
      </w:r>
    </w:p>
    <w:p w14:paraId="7FE014FD" w14:textId="77777777" w:rsidR="008D2831" w:rsidRPr="001E07AB" w:rsidRDefault="008D2831" w:rsidP="000170B5">
      <w:pPr>
        <w:pStyle w:val="ParaClause"/>
      </w:pPr>
      <w:r w:rsidRPr="006D7459">
        <w:rPr>
          <w:rFonts w:ascii="Calibri" w:hAnsi="Calibri"/>
        </w:rPr>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r w:rsidRPr="001E07AB">
        <w:t>.</w:t>
      </w:r>
    </w:p>
    <w:p w14:paraId="52922E6A" w14:textId="77777777" w:rsidR="008D2831" w:rsidRPr="006D7459" w:rsidRDefault="008D2831" w:rsidP="008D2831">
      <w:pPr>
        <w:pStyle w:val="NoNumTitle-Clause"/>
        <w:rPr>
          <w:rFonts w:ascii="Calibri" w:hAnsi="Calibri"/>
        </w:rPr>
      </w:pPr>
      <w:bookmarkStart w:id="13" w:name="a710573"/>
      <w:r w:rsidRPr="006D7459">
        <w:rPr>
          <w:rFonts w:ascii="Calibri" w:hAnsi="Calibri"/>
        </w:rPr>
        <w:t>Right to withdraw consent</w:t>
      </w:r>
      <w:bookmarkEnd w:id="13"/>
    </w:p>
    <w:p w14:paraId="4D0B6D8D" w14:textId="5F62A240" w:rsidR="008D2831" w:rsidRPr="006D7459" w:rsidRDefault="008D2831" w:rsidP="008D2831">
      <w:pPr>
        <w:pStyle w:val="ParaClause"/>
        <w:rPr>
          <w:rFonts w:ascii="Calibri" w:hAnsi="Calibri"/>
        </w:rPr>
      </w:pPr>
      <w:r w:rsidRPr="006D7459">
        <w:rPr>
          <w:rFonts w:ascii="Calibri" w:hAnsi="Calibri"/>
        </w:rPr>
        <w:t xml:space="preserve">In the limited circumstances where you may have provided your consent to the collection, processing and transfer of your personal information </w:t>
      </w:r>
      <w:r w:rsidR="00C12F1C">
        <w:rPr>
          <w:rFonts w:ascii="Calibri" w:hAnsi="Calibri"/>
        </w:rPr>
        <w:t xml:space="preserve">(and that of your interested parties) </w:t>
      </w:r>
      <w:r w:rsidRPr="006D7459">
        <w:rPr>
          <w:rFonts w:ascii="Calibri" w:hAnsi="Calibri"/>
        </w:rPr>
        <w:t>for a specific purpose, you have the right to withdraw your consent for that specific processing at any time. To withdraw your consent, please</w:t>
      </w:r>
      <w:r w:rsidR="00537D51">
        <w:rPr>
          <w:rFonts w:ascii="Calibri" w:hAnsi="Calibri"/>
        </w:rPr>
        <w:t xml:space="preserve"> contact </w:t>
      </w:r>
      <w:r w:rsidR="00C12F1C">
        <w:rPr>
          <w:rFonts w:ascii="Calibri" w:hAnsi="Calibri"/>
        </w:rPr>
        <w:t>the data protection officer at Swype</w:t>
      </w:r>
      <w:r w:rsidR="00537D51">
        <w:rPr>
          <w:rFonts w:ascii="Calibri" w:hAnsi="Calibri"/>
        </w:rPr>
        <w:t xml:space="preserve">.  </w:t>
      </w:r>
      <w:r w:rsidRPr="006D7459">
        <w:rPr>
          <w:rFonts w:ascii="Calibri" w:hAnsi="Calibri"/>
        </w:rPr>
        <w:t>Once we have received notification that you have withdrawn your consent, we will no longer process your information for the purpose or purposes you originally agreed to, unless we have another legitimate basis for doing so in law.</w:t>
      </w:r>
    </w:p>
    <w:p w14:paraId="4A769A48" w14:textId="01B13077" w:rsidR="008D2831" w:rsidRPr="006D7459" w:rsidRDefault="008D2831" w:rsidP="008D2831">
      <w:pPr>
        <w:pStyle w:val="NoNumTitle-Clause"/>
        <w:rPr>
          <w:rFonts w:ascii="Calibri" w:hAnsi="Calibri"/>
        </w:rPr>
      </w:pPr>
      <w:bookmarkStart w:id="14" w:name="a639415"/>
      <w:r w:rsidRPr="006D7459">
        <w:rPr>
          <w:rFonts w:ascii="Calibri" w:hAnsi="Calibri"/>
        </w:rPr>
        <w:t xml:space="preserve">Changes to this privacy </w:t>
      </w:r>
      <w:r w:rsidR="000C6A5F">
        <w:rPr>
          <w:rFonts w:ascii="Calibri" w:hAnsi="Calibri"/>
        </w:rPr>
        <w:t>policy</w:t>
      </w:r>
      <w:bookmarkEnd w:id="14"/>
    </w:p>
    <w:p w14:paraId="430990C0" w14:textId="0CB3C555" w:rsidR="008D2831" w:rsidRDefault="008D2831" w:rsidP="008D2831">
      <w:pPr>
        <w:pStyle w:val="ParaClause"/>
      </w:pPr>
      <w:r w:rsidRPr="006D7459">
        <w:rPr>
          <w:rFonts w:ascii="Calibri" w:hAnsi="Calibri"/>
        </w:rPr>
        <w:t xml:space="preserve">We reserve the right to update this privacy </w:t>
      </w:r>
      <w:r w:rsidR="000C6A5F">
        <w:rPr>
          <w:rFonts w:ascii="Calibri" w:hAnsi="Calibri"/>
        </w:rPr>
        <w:t>policy</w:t>
      </w:r>
      <w:r w:rsidRPr="006D7459">
        <w:rPr>
          <w:rFonts w:ascii="Calibri" w:hAnsi="Calibri"/>
        </w:rPr>
        <w:t xml:space="preserve"> at any time</w:t>
      </w:r>
      <w:r w:rsidR="00B9248F">
        <w:rPr>
          <w:rFonts w:ascii="Calibri" w:hAnsi="Calibri"/>
        </w:rPr>
        <w:t>.  Any updates will be document control and made available to you upon request.</w:t>
      </w:r>
      <w:r w:rsidRPr="006D7459">
        <w:rPr>
          <w:rFonts w:ascii="Calibri" w:hAnsi="Calibri"/>
        </w:rPr>
        <w:t xml:space="preserve"> </w:t>
      </w:r>
      <w:r w:rsidR="00B9248F">
        <w:rPr>
          <w:rFonts w:ascii="Calibri" w:hAnsi="Calibri"/>
        </w:rPr>
        <w:t>For any substantial changes, w</w:t>
      </w:r>
      <w:r w:rsidRPr="006D7459">
        <w:rPr>
          <w:rFonts w:ascii="Calibri" w:hAnsi="Calibri"/>
        </w:rPr>
        <w:t xml:space="preserve">e may </w:t>
      </w:r>
      <w:r w:rsidR="00B9248F">
        <w:rPr>
          <w:rFonts w:ascii="Calibri" w:hAnsi="Calibri"/>
        </w:rPr>
        <w:t xml:space="preserve">contact you directly to </w:t>
      </w:r>
      <w:r w:rsidRPr="006D7459">
        <w:rPr>
          <w:rFonts w:ascii="Calibri" w:hAnsi="Calibri"/>
        </w:rPr>
        <w:t>notify you in other ways from time to time about the processing of your personal information</w:t>
      </w:r>
      <w:r w:rsidRPr="00DB5E44">
        <w:t>.</w:t>
      </w:r>
      <w:r>
        <w:t xml:space="preserve"> </w:t>
      </w:r>
    </w:p>
    <w:p w14:paraId="36B0B6E4" w14:textId="47F3C0CE" w:rsidR="00183796" w:rsidRDefault="00183796" w:rsidP="008D2831">
      <w:pPr>
        <w:pStyle w:val="ParaClause"/>
      </w:pPr>
    </w:p>
    <w:p w14:paraId="6D3872FA" w14:textId="299FE05A" w:rsidR="00183796" w:rsidRDefault="00183796" w:rsidP="008D2831">
      <w:pPr>
        <w:pStyle w:val="ParaClause"/>
      </w:pPr>
    </w:p>
    <w:p w14:paraId="756E962A" w14:textId="77777777" w:rsidR="00183796" w:rsidRDefault="00183796" w:rsidP="008D2831">
      <w:pPr>
        <w:pStyle w:val="ParaClause"/>
      </w:pPr>
    </w:p>
    <w:p w14:paraId="25351FB6" w14:textId="59A397DF" w:rsidR="00183796" w:rsidRPr="00183796" w:rsidRDefault="001C665E" w:rsidP="008D2831">
      <w:pPr>
        <w:pStyle w:val="ParaClause"/>
        <w:rPr>
          <w:rFonts w:ascii="Calibri" w:hAnsi="Calibri"/>
        </w:rPr>
      </w:pPr>
      <w:r>
        <w:rPr>
          <w:rFonts w:ascii="Calibri" w:hAnsi="Calibri"/>
        </w:rPr>
        <w:t>Tim Scott</w:t>
      </w:r>
    </w:p>
    <w:p w14:paraId="122878BA" w14:textId="24103D36" w:rsidR="00183796" w:rsidRPr="00183796" w:rsidRDefault="00183796" w:rsidP="008D2831">
      <w:pPr>
        <w:pStyle w:val="ParaClause"/>
        <w:rPr>
          <w:rFonts w:ascii="Calibri" w:hAnsi="Calibri"/>
        </w:rPr>
      </w:pPr>
      <w:r w:rsidRPr="00183796">
        <w:rPr>
          <w:rFonts w:ascii="Calibri" w:hAnsi="Calibri"/>
        </w:rPr>
        <w:t>Managing Director</w:t>
      </w:r>
    </w:p>
    <w:p w14:paraId="1E08FE96" w14:textId="77777777" w:rsidR="00183796" w:rsidRDefault="00183796" w:rsidP="008D2831">
      <w:pPr>
        <w:pStyle w:val="ParaClause"/>
      </w:pPr>
    </w:p>
    <w:p w14:paraId="4918A0BE" w14:textId="77777777" w:rsidR="00247B21" w:rsidRPr="00247B21" w:rsidRDefault="00247B21" w:rsidP="00247B21">
      <w:pPr>
        <w:spacing w:after="0"/>
        <w:rPr>
          <w:vanish/>
        </w:rPr>
      </w:pPr>
    </w:p>
    <w:p w14:paraId="48C150BC" w14:textId="77777777" w:rsidR="008D2831" w:rsidRDefault="008D2831" w:rsidP="008D2831">
      <w:pPr>
        <w:pStyle w:val="IgnoredSpacing"/>
      </w:pPr>
    </w:p>
    <w:sectPr w:rsidR="008D2831" w:rsidSect="00183796">
      <w:headerReference w:type="default" r:id="rId11"/>
      <w:footerReference w:type="default" r:id="rId12"/>
      <w:pgSz w:w="11906" w:h="16838"/>
      <w:pgMar w:top="1626"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0C2CF" w14:textId="77777777" w:rsidR="00923D24" w:rsidRDefault="00923D24" w:rsidP="008D2831">
      <w:pPr>
        <w:spacing w:after="0" w:line="240" w:lineRule="auto"/>
      </w:pPr>
      <w:r>
        <w:separator/>
      </w:r>
    </w:p>
  </w:endnote>
  <w:endnote w:type="continuationSeparator" w:id="0">
    <w:p w14:paraId="2B53C33F" w14:textId="77777777" w:rsidR="00923D24" w:rsidRDefault="00923D24" w:rsidP="008D2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9703C" w14:textId="31192659" w:rsidR="005E21CF" w:rsidRPr="00EC50DA" w:rsidRDefault="00174D9F" w:rsidP="00EC50DA">
    <w:pPr>
      <w:ind w:left="567"/>
      <w:jc w:val="center"/>
      <w:rPr>
        <w:rFonts w:asciiTheme="majorHAnsi" w:eastAsiaTheme="majorEastAsia" w:hAnsiTheme="majorHAnsi" w:cstheme="majorBidi"/>
        <w:color w:val="000000" w:themeColor="text1"/>
        <w:sz w:val="20"/>
        <w:szCs w:val="20"/>
      </w:rPr>
    </w:pPr>
    <w:r w:rsidRPr="00EC50DA">
      <w:rPr>
        <w:rFonts w:asciiTheme="majorHAnsi" w:hAnsiTheme="majorHAnsi" w:cstheme="majorHAnsi"/>
        <w:noProof/>
        <w:color w:val="000000" w:themeColor="text1"/>
      </w:rPr>
      <mc:AlternateContent>
        <mc:Choice Requires="wps">
          <w:drawing>
            <wp:anchor distT="0" distB="0" distL="114300" distR="114300" simplePos="0" relativeHeight="251659264" behindDoc="0" locked="0" layoutInCell="1" allowOverlap="1" wp14:anchorId="23ACBF49" wp14:editId="35331575">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A7745A6"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EC50DA">
      <w:rPr>
        <w:rFonts w:asciiTheme="majorHAnsi" w:hAnsiTheme="majorHAnsi" w:cstheme="majorHAnsi"/>
        <w:color w:val="000000" w:themeColor="text1"/>
      </w:rPr>
      <w:t>IMS-POL-010</w:t>
    </w:r>
    <w:r w:rsidRPr="00EC50DA">
      <w:rPr>
        <w:rFonts w:asciiTheme="majorHAnsi" w:hAnsiTheme="majorHAnsi" w:cstheme="majorHAnsi"/>
        <w:color w:val="000000" w:themeColor="text1"/>
      </w:rPr>
      <w:tab/>
    </w:r>
    <w:r w:rsidRPr="00EC50DA">
      <w:rPr>
        <w:rFonts w:asciiTheme="majorHAnsi" w:hAnsiTheme="majorHAnsi" w:cstheme="majorHAnsi"/>
        <w:color w:val="000000" w:themeColor="text1"/>
      </w:rPr>
      <w:tab/>
    </w:r>
    <w:r w:rsidRPr="00EC50DA">
      <w:rPr>
        <w:rFonts w:asciiTheme="majorHAnsi" w:hAnsiTheme="majorHAnsi" w:cstheme="majorHAnsi"/>
        <w:color w:val="000000" w:themeColor="text1"/>
      </w:rPr>
      <w:tab/>
    </w:r>
    <w:r w:rsidRPr="00EC50DA">
      <w:rPr>
        <w:rFonts w:asciiTheme="majorHAnsi" w:hAnsiTheme="majorHAnsi" w:cstheme="majorHAnsi"/>
        <w:color w:val="000000" w:themeColor="text1"/>
      </w:rPr>
      <w:tab/>
    </w:r>
    <w:r w:rsidR="00EC50DA">
      <w:rPr>
        <w:rFonts w:asciiTheme="majorHAnsi" w:hAnsiTheme="majorHAnsi" w:cstheme="majorHAnsi"/>
        <w:color w:val="000000" w:themeColor="text1"/>
      </w:rPr>
      <w:tab/>
    </w:r>
    <w:r w:rsidRPr="00EC50DA">
      <w:rPr>
        <w:rFonts w:asciiTheme="majorHAnsi" w:hAnsiTheme="majorHAnsi" w:cstheme="majorHAnsi"/>
        <w:color w:val="000000" w:themeColor="text1"/>
      </w:rPr>
      <w:t xml:space="preserve">Issue </w:t>
    </w:r>
    <w:r w:rsidR="00EC50DA" w:rsidRPr="00EC50DA">
      <w:rPr>
        <w:rFonts w:asciiTheme="majorHAnsi" w:hAnsiTheme="majorHAnsi" w:cstheme="majorHAnsi"/>
        <w:color w:val="000000" w:themeColor="text1"/>
      </w:rPr>
      <w:t>5</w:t>
    </w:r>
    <w:r w:rsidRPr="00174D9F">
      <w:rPr>
        <w:color w:val="000000" w:themeColor="text1"/>
      </w:rPr>
      <w:tab/>
    </w:r>
    <w:r w:rsidRPr="00174D9F">
      <w:rPr>
        <w:color w:val="000000" w:themeColor="text1"/>
      </w:rPr>
      <w:tab/>
    </w:r>
    <w:r w:rsidRPr="00174D9F">
      <w:rPr>
        <w:color w:val="000000" w:themeColor="text1"/>
      </w:rPr>
      <w:tab/>
    </w:r>
    <w:r w:rsidRPr="00174D9F">
      <w:rPr>
        <w:color w:val="000000" w:themeColor="text1"/>
      </w:rPr>
      <w:tab/>
      <w:t xml:space="preserve"> </w:t>
    </w:r>
    <w:r w:rsidRPr="00174D9F">
      <w:rPr>
        <w:rFonts w:asciiTheme="majorHAnsi" w:eastAsiaTheme="majorEastAsia" w:hAnsiTheme="majorHAnsi" w:cstheme="majorBidi"/>
        <w:color w:val="000000" w:themeColor="text1"/>
        <w:sz w:val="20"/>
        <w:szCs w:val="20"/>
      </w:rPr>
      <w:tab/>
    </w:r>
    <w:r w:rsidR="00EC50DA">
      <w:rPr>
        <w:rFonts w:asciiTheme="majorHAnsi" w:eastAsiaTheme="majorEastAsia" w:hAnsiTheme="majorHAnsi" w:cstheme="majorBidi"/>
        <w:color w:val="000000" w:themeColor="text1"/>
        <w:sz w:val="20"/>
        <w:szCs w:val="20"/>
      </w:rPr>
      <w:t>20/01/25</w:t>
    </w:r>
    <w:r w:rsidRPr="00174D9F">
      <w:rPr>
        <w:rFonts w:asciiTheme="majorHAnsi" w:eastAsiaTheme="majorEastAsia" w:hAnsiTheme="majorHAnsi" w:cstheme="majorBidi"/>
        <w:noProof/>
        <w:color w:val="000000" w:themeColor="text1"/>
        <w:sz w:val="20"/>
        <w:szCs w:val="20"/>
      </w:rPr>
      <w:tab/>
    </w:r>
    <w:r>
      <w:rPr>
        <w:rFonts w:asciiTheme="majorHAnsi" w:eastAsiaTheme="majorEastAsia" w:hAnsiTheme="majorHAnsi" w:cstheme="majorBidi"/>
        <w:noProof/>
        <w:color w:val="4472C4"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30940" w14:textId="77777777" w:rsidR="00923D24" w:rsidRDefault="00923D24" w:rsidP="008D2831">
      <w:pPr>
        <w:spacing w:after="0" w:line="240" w:lineRule="auto"/>
      </w:pPr>
      <w:r>
        <w:separator/>
      </w:r>
    </w:p>
  </w:footnote>
  <w:footnote w:type="continuationSeparator" w:id="0">
    <w:p w14:paraId="00A6A02A" w14:textId="77777777" w:rsidR="00923D24" w:rsidRDefault="00923D24" w:rsidP="008D2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D5A46" w14:textId="1291B097" w:rsidR="005E21CF" w:rsidRDefault="00972F9B" w:rsidP="008076A0">
    <w:pPr>
      <w:pStyle w:val="Header"/>
      <w:ind w:firstLine="567"/>
    </w:pPr>
    <w:r>
      <w:rPr>
        <w:noProof/>
      </w:rPr>
      <w:drawing>
        <wp:inline distT="0" distB="0" distL="0" distR="0" wp14:anchorId="67886B74" wp14:editId="1EFB5EBE">
          <wp:extent cx="2513803" cy="1003300"/>
          <wp:effectExtent l="0" t="0" r="1270" b="6350"/>
          <wp:docPr id="17556219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504" cy="10075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rPr>
    </w:lvl>
    <w:lvl w:ilvl="2">
      <w:start w:val="1"/>
      <w:numFmt w:val="lowerLetter"/>
      <w:pStyle w:val="Untitledsubclause2"/>
      <w:lvlText w:val="(%3)"/>
      <w:lvlJc w:val="left"/>
      <w:pPr>
        <w:tabs>
          <w:tab w:val="num" w:pos="1555"/>
        </w:tabs>
        <w:ind w:left="1555" w:hanging="561"/>
      </w:pPr>
      <w:rPr>
        <w:rFonts w:hint="default"/>
      </w:rPr>
    </w:lvl>
    <w:lvl w:ilvl="3">
      <w:start w:val="1"/>
      <w:numFmt w:val="lowerRoman"/>
      <w:pStyle w:val="Untitledsubclause3"/>
      <w:lvlText w:val="(%4)"/>
      <w:lvlJc w:val="left"/>
      <w:pPr>
        <w:tabs>
          <w:tab w:val="num" w:pos="2419"/>
        </w:tabs>
        <w:ind w:left="2275" w:hanging="576"/>
      </w:pPr>
      <w:rPr>
        <w:rFonts w:hint="default"/>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08FE74F4">
      <w:start w:val="1"/>
      <w:numFmt w:val="bullet"/>
      <w:pStyle w:val="DefinedTermBullet"/>
      <w:lvlText w:val=""/>
      <w:lvlJc w:val="left"/>
      <w:pPr>
        <w:ind w:left="1440" w:hanging="360"/>
      </w:pPr>
      <w:rPr>
        <w:rFonts w:ascii="Symbol" w:hAnsi="Symbol" w:hint="default"/>
        <w:color w:val="000000"/>
      </w:rPr>
    </w:lvl>
    <w:lvl w:ilvl="1" w:tplc="52EA679E" w:tentative="1">
      <w:start w:val="1"/>
      <w:numFmt w:val="bullet"/>
      <w:lvlText w:val="o"/>
      <w:lvlJc w:val="left"/>
      <w:pPr>
        <w:ind w:left="2160" w:hanging="360"/>
      </w:pPr>
      <w:rPr>
        <w:rFonts w:ascii="Courier New" w:hAnsi="Courier New" w:cs="Courier New" w:hint="default"/>
      </w:rPr>
    </w:lvl>
    <w:lvl w:ilvl="2" w:tplc="B79C88D8" w:tentative="1">
      <w:start w:val="1"/>
      <w:numFmt w:val="bullet"/>
      <w:lvlText w:val=""/>
      <w:lvlJc w:val="left"/>
      <w:pPr>
        <w:ind w:left="2880" w:hanging="360"/>
      </w:pPr>
      <w:rPr>
        <w:rFonts w:ascii="Wingdings" w:hAnsi="Wingdings" w:hint="default"/>
      </w:rPr>
    </w:lvl>
    <w:lvl w:ilvl="3" w:tplc="5DDE6C5E" w:tentative="1">
      <w:start w:val="1"/>
      <w:numFmt w:val="bullet"/>
      <w:lvlText w:val=""/>
      <w:lvlJc w:val="left"/>
      <w:pPr>
        <w:ind w:left="3600" w:hanging="360"/>
      </w:pPr>
      <w:rPr>
        <w:rFonts w:ascii="Symbol" w:hAnsi="Symbol" w:hint="default"/>
      </w:rPr>
    </w:lvl>
    <w:lvl w:ilvl="4" w:tplc="C3F662E8" w:tentative="1">
      <w:start w:val="1"/>
      <w:numFmt w:val="bullet"/>
      <w:lvlText w:val="o"/>
      <w:lvlJc w:val="left"/>
      <w:pPr>
        <w:ind w:left="4320" w:hanging="360"/>
      </w:pPr>
      <w:rPr>
        <w:rFonts w:ascii="Courier New" w:hAnsi="Courier New" w:cs="Courier New" w:hint="default"/>
      </w:rPr>
    </w:lvl>
    <w:lvl w:ilvl="5" w:tplc="BA748EF0" w:tentative="1">
      <w:start w:val="1"/>
      <w:numFmt w:val="bullet"/>
      <w:lvlText w:val=""/>
      <w:lvlJc w:val="left"/>
      <w:pPr>
        <w:ind w:left="5040" w:hanging="360"/>
      </w:pPr>
      <w:rPr>
        <w:rFonts w:ascii="Wingdings" w:hAnsi="Wingdings" w:hint="default"/>
      </w:rPr>
    </w:lvl>
    <w:lvl w:ilvl="6" w:tplc="F8CAF7A4" w:tentative="1">
      <w:start w:val="1"/>
      <w:numFmt w:val="bullet"/>
      <w:lvlText w:val=""/>
      <w:lvlJc w:val="left"/>
      <w:pPr>
        <w:ind w:left="5760" w:hanging="360"/>
      </w:pPr>
      <w:rPr>
        <w:rFonts w:ascii="Symbol" w:hAnsi="Symbol" w:hint="default"/>
      </w:rPr>
    </w:lvl>
    <w:lvl w:ilvl="7" w:tplc="00DEA5AC" w:tentative="1">
      <w:start w:val="1"/>
      <w:numFmt w:val="bullet"/>
      <w:lvlText w:val="o"/>
      <w:lvlJc w:val="left"/>
      <w:pPr>
        <w:ind w:left="6480" w:hanging="360"/>
      </w:pPr>
      <w:rPr>
        <w:rFonts w:ascii="Courier New" w:hAnsi="Courier New" w:cs="Courier New" w:hint="default"/>
      </w:rPr>
    </w:lvl>
    <w:lvl w:ilvl="8" w:tplc="2548AA26"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rPr>
    </w:lvl>
    <w:lvl w:ilvl="3">
      <w:start w:val="1"/>
      <w:numFmt w:val="decimal"/>
      <w:pStyle w:val="ScheduleUntitledsubclause1"/>
      <w:lvlText w:val="%3.%4"/>
      <w:lvlJc w:val="left"/>
      <w:pPr>
        <w:tabs>
          <w:tab w:val="num" w:pos="720"/>
        </w:tabs>
        <w:ind w:left="720" w:hanging="720"/>
      </w:pPr>
      <w:rPr>
        <w:rFonts w:hint="default"/>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989ADB32">
      <w:start w:val="1"/>
      <w:numFmt w:val="decimal"/>
      <w:pStyle w:val="ScheduleHeading-Single"/>
      <w:lvlText w:val="Schedule"/>
      <w:lvlJc w:val="left"/>
      <w:pPr>
        <w:tabs>
          <w:tab w:val="num" w:pos="720"/>
        </w:tabs>
        <w:ind w:left="720" w:hanging="720"/>
      </w:pPr>
      <w:rPr>
        <w:color w:val="000000"/>
      </w:rPr>
    </w:lvl>
    <w:lvl w:ilvl="1" w:tplc="9C029152" w:tentative="1">
      <w:start w:val="1"/>
      <w:numFmt w:val="lowerLetter"/>
      <w:lvlText w:val="%2."/>
      <w:lvlJc w:val="left"/>
      <w:pPr>
        <w:tabs>
          <w:tab w:val="num" w:pos="1440"/>
        </w:tabs>
        <w:ind w:left="1440" w:hanging="360"/>
      </w:pPr>
    </w:lvl>
    <w:lvl w:ilvl="2" w:tplc="9B824D28" w:tentative="1">
      <w:start w:val="1"/>
      <w:numFmt w:val="lowerRoman"/>
      <w:lvlText w:val="%3."/>
      <w:lvlJc w:val="right"/>
      <w:pPr>
        <w:tabs>
          <w:tab w:val="num" w:pos="2160"/>
        </w:tabs>
        <w:ind w:left="2160" w:hanging="180"/>
      </w:pPr>
    </w:lvl>
    <w:lvl w:ilvl="3" w:tplc="5EDE05CE" w:tentative="1">
      <w:start w:val="1"/>
      <w:numFmt w:val="decimal"/>
      <w:lvlText w:val="%4."/>
      <w:lvlJc w:val="left"/>
      <w:pPr>
        <w:tabs>
          <w:tab w:val="num" w:pos="2880"/>
        </w:tabs>
        <w:ind w:left="2880" w:hanging="360"/>
      </w:pPr>
    </w:lvl>
    <w:lvl w:ilvl="4" w:tplc="320A3812" w:tentative="1">
      <w:start w:val="1"/>
      <w:numFmt w:val="lowerLetter"/>
      <w:lvlText w:val="%5."/>
      <w:lvlJc w:val="left"/>
      <w:pPr>
        <w:tabs>
          <w:tab w:val="num" w:pos="3600"/>
        </w:tabs>
        <w:ind w:left="3600" w:hanging="360"/>
      </w:pPr>
    </w:lvl>
    <w:lvl w:ilvl="5" w:tplc="59FA52C2" w:tentative="1">
      <w:start w:val="1"/>
      <w:numFmt w:val="lowerRoman"/>
      <w:lvlText w:val="%6."/>
      <w:lvlJc w:val="right"/>
      <w:pPr>
        <w:tabs>
          <w:tab w:val="num" w:pos="4320"/>
        </w:tabs>
        <w:ind w:left="4320" w:hanging="180"/>
      </w:pPr>
    </w:lvl>
    <w:lvl w:ilvl="6" w:tplc="309E8852" w:tentative="1">
      <w:start w:val="1"/>
      <w:numFmt w:val="decimal"/>
      <w:lvlText w:val="%7."/>
      <w:lvlJc w:val="left"/>
      <w:pPr>
        <w:tabs>
          <w:tab w:val="num" w:pos="5040"/>
        </w:tabs>
        <w:ind w:left="5040" w:hanging="360"/>
      </w:pPr>
    </w:lvl>
    <w:lvl w:ilvl="7" w:tplc="1F542596" w:tentative="1">
      <w:start w:val="1"/>
      <w:numFmt w:val="lowerLetter"/>
      <w:lvlText w:val="%8."/>
      <w:lvlJc w:val="left"/>
      <w:pPr>
        <w:tabs>
          <w:tab w:val="num" w:pos="5760"/>
        </w:tabs>
        <w:ind w:left="5760" w:hanging="360"/>
      </w:pPr>
    </w:lvl>
    <w:lvl w:ilvl="8" w:tplc="6AEC430E" w:tentative="1">
      <w:start w:val="1"/>
      <w:numFmt w:val="lowerRoman"/>
      <w:lvlText w:val="%9."/>
      <w:lvlJc w:val="right"/>
      <w:pPr>
        <w:tabs>
          <w:tab w:val="num" w:pos="6480"/>
        </w:tabs>
        <w:ind w:left="6480" w:hanging="180"/>
      </w:pPr>
    </w:lvl>
  </w:abstractNum>
  <w:abstractNum w:abstractNumId="4" w15:restartNumberingAfterBreak="0">
    <w:nsid w:val="25B00E4C"/>
    <w:multiLevelType w:val="hybridMultilevel"/>
    <w:tmpl w:val="97C4AA26"/>
    <w:lvl w:ilvl="0" w:tplc="91A6327E">
      <w:start w:val="1"/>
      <w:numFmt w:val="upperLetter"/>
      <w:pStyle w:val="Annex"/>
      <w:lvlText w:val="ANNEX %1"/>
      <w:lvlJc w:val="left"/>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50E6A06" w:tentative="1">
      <w:start w:val="1"/>
      <w:numFmt w:val="lowerLetter"/>
      <w:lvlText w:val="%2."/>
      <w:lvlJc w:val="left"/>
      <w:pPr>
        <w:ind w:left="1440" w:hanging="360"/>
      </w:pPr>
    </w:lvl>
    <w:lvl w:ilvl="2" w:tplc="F410AA86" w:tentative="1">
      <w:start w:val="1"/>
      <w:numFmt w:val="lowerRoman"/>
      <w:lvlText w:val="%3."/>
      <w:lvlJc w:val="right"/>
      <w:pPr>
        <w:ind w:left="2160" w:hanging="180"/>
      </w:pPr>
    </w:lvl>
    <w:lvl w:ilvl="3" w:tplc="8C341B7C" w:tentative="1">
      <w:start w:val="1"/>
      <w:numFmt w:val="decimal"/>
      <w:lvlText w:val="%4."/>
      <w:lvlJc w:val="left"/>
      <w:pPr>
        <w:ind w:left="2880" w:hanging="360"/>
      </w:pPr>
    </w:lvl>
    <w:lvl w:ilvl="4" w:tplc="D1A416CC" w:tentative="1">
      <w:start w:val="1"/>
      <w:numFmt w:val="lowerLetter"/>
      <w:lvlText w:val="%5."/>
      <w:lvlJc w:val="left"/>
      <w:pPr>
        <w:ind w:left="3600" w:hanging="360"/>
      </w:pPr>
    </w:lvl>
    <w:lvl w:ilvl="5" w:tplc="0F8A9DA6" w:tentative="1">
      <w:start w:val="1"/>
      <w:numFmt w:val="lowerRoman"/>
      <w:lvlText w:val="%6."/>
      <w:lvlJc w:val="right"/>
      <w:pPr>
        <w:ind w:left="4320" w:hanging="180"/>
      </w:pPr>
    </w:lvl>
    <w:lvl w:ilvl="6" w:tplc="5F9AEB92" w:tentative="1">
      <w:start w:val="1"/>
      <w:numFmt w:val="decimal"/>
      <w:lvlText w:val="%7."/>
      <w:lvlJc w:val="left"/>
      <w:pPr>
        <w:ind w:left="5040" w:hanging="360"/>
      </w:pPr>
    </w:lvl>
    <w:lvl w:ilvl="7" w:tplc="D018D1EE" w:tentative="1">
      <w:start w:val="1"/>
      <w:numFmt w:val="lowerLetter"/>
      <w:lvlText w:val="%8."/>
      <w:lvlJc w:val="left"/>
      <w:pPr>
        <w:ind w:left="5760" w:hanging="360"/>
      </w:pPr>
    </w:lvl>
    <w:lvl w:ilvl="8" w:tplc="3A02B050" w:tentative="1">
      <w:start w:val="1"/>
      <w:numFmt w:val="lowerRoman"/>
      <w:lvlText w:val="%9."/>
      <w:lvlJc w:val="right"/>
      <w:pPr>
        <w:ind w:left="6480" w:hanging="180"/>
      </w:pPr>
    </w:lvl>
  </w:abstractNum>
  <w:abstractNum w:abstractNumId="5" w15:restartNumberingAfterBreak="0">
    <w:nsid w:val="29C94F29"/>
    <w:multiLevelType w:val="hybridMultilevel"/>
    <w:tmpl w:val="4CBC2A34"/>
    <w:lvl w:ilvl="0" w:tplc="125484E6">
      <w:start w:val="1"/>
      <w:numFmt w:val="decimal"/>
      <w:pStyle w:val="QuestionParagraph"/>
      <w:lvlText w:val="%1."/>
      <w:lvlJc w:val="left"/>
      <w:pPr>
        <w:ind w:left="720" w:hanging="360"/>
      </w:pPr>
      <w:rPr>
        <w:color w:val="000000"/>
      </w:rPr>
    </w:lvl>
    <w:lvl w:ilvl="1" w:tplc="E4369A1C" w:tentative="1">
      <w:start w:val="1"/>
      <w:numFmt w:val="lowerLetter"/>
      <w:lvlText w:val="%2."/>
      <w:lvlJc w:val="left"/>
      <w:pPr>
        <w:ind w:left="1440" w:hanging="360"/>
      </w:pPr>
    </w:lvl>
    <w:lvl w:ilvl="2" w:tplc="A8F0959E" w:tentative="1">
      <w:start w:val="1"/>
      <w:numFmt w:val="lowerRoman"/>
      <w:lvlText w:val="%3."/>
      <w:lvlJc w:val="right"/>
      <w:pPr>
        <w:ind w:left="2160" w:hanging="180"/>
      </w:pPr>
    </w:lvl>
    <w:lvl w:ilvl="3" w:tplc="4978E9A2" w:tentative="1">
      <w:start w:val="1"/>
      <w:numFmt w:val="decimal"/>
      <w:lvlText w:val="%4."/>
      <w:lvlJc w:val="left"/>
      <w:pPr>
        <w:ind w:left="2880" w:hanging="360"/>
      </w:pPr>
    </w:lvl>
    <w:lvl w:ilvl="4" w:tplc="9F04ED74" w:tentative="1">
      <w:start w:val="1"/>
      <w:numFmt w:val="lowerLetter"/>
      <w:lvlText w:val="%5."/>
      <w:lvlJc w:val="left"/>
      <w:pPr>
        <w:ind w:left="3600" w:hanging="360"/>
      </w:pPr>
    </w:lvl>
    <w:lvl w:ilvl="5" w:tplc="3E083AF8" w:tentative="1">
      <w:start w:val="1"/>
      <w:numFmt w:val="lowerRoman"/>
      <w:lvlText w:val="%6."/>
      <w:lvlJc w:val="right"/>
      <w:pPr>
        <w:ind w:left="4320" w:hanging="180"/>
      </w:pPr>
    </w:lvl>
    <w:lvl w:ilvl="6" w:tplc="B4C8F39A" w:tentative="1">
      <w:start w:val="1"/>
      <w:numFmt w:val="decimal"/>
      <w:lvlText w:val="%7."/>
      <w:lvlJc w:val="left"/>
      <w:pPr>
        <w:ind w:left="5040" w:hanging="360"/>
      </w:pPr>
    </w:lvl>
    <w:lvl w:ilvl="7" w:tplc="FC88971C" w:tentative="1">
      <w:start w:val="1"/>
      <w:numFmt w:val="lowerLetter"/>
      <w:lvlText w:val="%8."/>
      <w:lvlJc w:val="left"/>
      <w:pPr>
        <w:ind w:left="5760" w:hanging="360"/>
      </w:pPr>
    </w:lvl>
    <w:lvl w:ilvl="8" w:tplc="9B024B8E" w:tentative="1">
      <w:start w:val="1"/>
      <w:numFmt w:val="lowerRoman"/>
      <w:lvlText w:val="%9."/>
      <w:lvlJc w:val="right"/>
      <w:pPr>
        <w:ind w:left="6480" w:hanging="180"/>
      </w:pPr>
    </w:lvl>
  </w:abstractNum>
  <w:abstractNum w:abstractNumId="6" w15:restartNumberingAfterBreak="0">
    <w:nsid w:val="310416CA"/>
    <w:multiLevelType w:val="hybridMultilevel"/>
    <w:tmpl w:val="072EDEC8"/>
    <w:lvl w:ilvl="0" w:tplc="9192FBD2">
      <w:start w:val="1"/>
      <w:numFmt w:val="bullet"/>
      <w:pStyle w:val="subclause2Bullet2"/>
      <w:lvlText w:val=""/>
      <w:lvlJc w:val="left"/>
      <w:pPr>
        <w:ind w:left="2279" w:hanging="360"/>
      </w:pPr>
      <w:rPr>
        <w:rFonts w:ascii="Symbol" w:hAnsi="Symbol" w:hint="default"/>
        <w:color w:val="000000"/>
      </w:rPr>
    </w:lvl>
    <w:lvl w:ilvl="1" w:tplc="52D63C34" w:tentative="1">
      <w:start w:val="1"/>
      <w:numFmt w:val="bullet"/>
      <w:lvlText w:val="o"/>
      <w:lvlJc w:val="left"/>
      <w:pPr>
        <w:ind w:left="2999" w:hanging="360"/>
      </w:pPr>
      <w:rPr>
        <w:rFonts w:ascii="Courier New" w:hAnsi="Courier New" w:cs="Courier New" w:hint="default"/>
      </w:rPr>
    </w:lvl>
    <w:lvl w:ilvl="2" w:tplc="25023026" w:tentative="1">
      <w:start w:val="1"/>
      <w:numFmt w:val="bullet"/>
      <w:lvlText w:val=""/>
      <w:lvlJc w:val="left"/>
      <w:pPr>
        <w:ind w:left="3719" w:hanging="360"/>
      </w:pPr>
      <w:rPr>
        <w:rFonts w:ascii="Wingdings" w:hAnsi="Wingdings" w:hint="default"/>
      </w:rPr>
    </w:lvl>
    <w:lvl w:ilvl="3" w:tplc="7046A8F0" w:tentative="1">
      <w:start w:val="1"/>
      <w:numFmt w:val="bullet"/>
      <w:lvlText w:val=""/>
      <w:lvlJc w:val="left"/>
      <w:pPr>
        <w:ind w:left="4439" w:hanging="360"/>
      </w:pPr>
      <w:rPr>
        <w:rFonts w:ascii="Symbol" w:hAnsi="Symbol" w:hint="default"/>
      </w:rPr>
    </w:lvl>
    <w:lvl w:ilvl="4" w:tplc="ABF8DB4C" w:tentative="1">
      <w:start w:val="1"/>
      <w:numFmt w:val="bullet"/>
      <w:lvlText w:val="o"/>
      <w:lvlJc w:val="left"/>
      <w:pPr>
        <w:ind w:left="5159" w:hanging="360"/>
      </w:pPr>
      <w:rPr>
        <w:rFonts w:ascii="Courier New" w:hAnsi="Courier New" w:cs="Courier New" w:hint="default"/>
      </w:rPr>
    </w:lvl>
    <w:lvl w:ilvl="5" w:tplc="A13CF562" w:tentative="1">
      <w:start w:val="1"/>
      <w:numFmt w:val="bullet"/>
      <w:lvlText w:val=""/>
      <w:lvlJc w:val="left"/>
      <w:pPr>
        <w:ind w:left="5879" w:hanging="360"/>
      </w:pPr>
      <w:rPr>
        <w:rFonts w:ascii="Wingdings" w:hAnsi="Wingdings" w:hint="default"/>
      </w:rPr>
    </w:lvl>
    <w:lvl w:ilvl="6" w:tplc="5B1EE426" w:tentative="1">
      <w:start w:val="1"/>
      <w:numFmt w:val="bullet"/>
      <w:lvlText w:val=""/>
      <w:lvlJc w:val="left"/>
      <w:pPr>
        <w:ind w:left="6599" w:hanging="360"/>
      </w:pPr>
      <w:rPr>
        <w:rFonts w:ascii="Symbol" w:hAnsi="Symbol" w:hint="default"/>
      </w:rPr>
    </w:lvl>
    <w:lvl w:ilvl="7" w:tplc="057A74CA" w:tentative="1">
      <w:start w:val="1"/>
      <w:numFmt w:val="bullet"/>
      <w:lvlText w:val="o"/>
      <w:lvlJc w:val="left"/>
      <w:pPr>
        <w:ind w:left="7319" w:hanging="360"/>
      </w:pPr>
      <w:rPr>
        <w:rFonts w:ascii="Courier New" w:hAnsi="Courier New" w:cs="Courier New" w:hint="default"/>
      </w:rPr>
    </w:lvl>
    <w:lvl w:ilvl="8" w:tplc="D52C9FD0" w:tentative="1">
      <w:start w:val="1"/>
      <w:numFmt w:val="bullet"/>
      <w:lvlText w:val=""/>
      <w:lvlJc w:val="left"/>
      <w:pPr>
        <w:ind w:left="8039" w:hanging="360"/>
      </w:pPr>
      <w:rPr>
        <w:rFonts w:ascii="Wingdings" w:hAnsi="Wingdings" w:hint="default"/>
      </w:rPr>
    </w:lvl>
  </w:abstractNum>
  <w:abstractNum w:abstractNumId="7" w15:restartNumberingAfterBreak="0">
    <w:nsid w:val="31E9741F"/>
    <w:multiLevelType w:val="hybridMultilevel"/>
    <w:tmpl w:val="0CAC7D4E"/>
    <w:lvl w:ilvl="0" w:tplc="38AEC408">
      <w:start w:val="1"/>
      <w:numFmt w:val="bullet"/>
      <w:pStyle w:val="BulletList2"/>
      <w:lvlText w:val=""/>
      <w:lvlJc w:val="left"/>
      <w:pPr>
        <w:tabs>
          <w:tab w:val="num" w:pos="1077"/>
        </w:tabs>
        <w:ind w:left="1077" w:hanging="357"/>
      </w:pPr>
      <w:rPr>
        <w:rFonts w:ascii="Symbol" w:hAnsi="Symbol" w:hint="default"/>
        <w:color w:val="000000"/>
      </w:rPr>
    </w:lvl>
    <w:lvl w:ilvl="1" w:tplc="1E9E02F6" w:tentative="1">
      <w:start w:val="1"/>
      <w:numFmt w:val="bullet"/>
      <w:lvlText w:val="o"/>
      <w:lvlJc w:val="left"/>
      <w:pPr>
        <w:tabs>
          <w:tab w:val="num" w:pos="1440"/>
        </w:tabs>
        <w:ind w:left="1440" w:hanging="360"/>
      </w:pPr>
      <w:rPr>
        <w:rFonts w:ascii="Courier New" w:hAnsi="Courier New" w:cs="Courier New" w:hint="default"/>
      </w:rPr>
    </w:lvl>
    <w:lvl w:ilvl="2" w:tplc="F844D19E" w:tentative="1">
      <w:start w:val="1"/>
      <w:numFmt w:val="bullet"/>
      <w:lvlText w:val=""/>
      <w:lvlJc w:val="left"/>
      <w:pPr>
        <w:tabs>
          <w:tab w:val="num" w:pos="2160"/>
        </w:tabs>
        <w:ind w:left="2160" w:hanging="360"/>
      </w:pPr>
      <w:rPr>
        <w:rFonts w:ascii="Wingdings" w:hAnsi="Wingdings" w:hint="default"/>
      </w:rPr>
    </w:lvl>
    <w:lvl w:ilvl="3" w:tplc="1D080608" w:tentative="1">
      <w:start w:val="1"/>
      <w:numFmt w:val="bullet"/>
      <w:lvlText w:val=""/>
      <w:lvlJc w:val="left"/>
      <w:pPr>
        <w:tabs>
          <w:tab w:val="num" w:pos="2880"/>
        </w:tabs>
        <w:ind w:left="2880" w:hanging="360"/>
      </w:pPr>
      <w:rPr>
        <w:rFonts w:ascii="Symbol" w:hAnsi="Symbol" w:hint="default"/>
      </w:rPr>
    </w:lvl>
    <w:lvl w:ilvl="4" w:tplc="9BC8D650" w:tentative="1">
      <w:start w:val="1"/>
      <w:numFmt w:val="bullet"/>
      <w:lvlText w:val="o"/>
      <w:lvlJc w:val="left"/>
      <w:pPr>
        <w:tabs>
          <w:tab w:val="num" w:pos="3600"/>
        </w:tabs>
        <w:ind w:left="3600" w:hanging="360"/>
      </w:pPr>
      <w:rPr>
        <w:rFonts w:ascii="Courier New" w:hAnsi="Courier New" w:cs="Courier New" w:hint="default"/>
      </w:rPr>
    </w:lvl>
    <w:lvl w:ilvl="5" w:tplc="671E6E0C" w:tentative="1">
      <w:start w:val="1"/>
      <w:numFmt w:val="bullet"/>
      <w:lvlText w:val=""/>
      <w:lvlJc w:val="left"/>
      <w:pPr>
        <w:tabs>
          <w:tab w:val="num" w:pos="4320"/>
        </w:tabs>
        <w:ind w:left="4320" w:hanging="360"/>
      </w:pPr>
      <w:rPr>
        <w:rFonts w:ascii="Wingdings" w:hAnsi="Wingdings" w:hint="default"/>
      </w:rPr>
    </w:lvl>
    <w:lvl w:ilvl="6" w:tplc="2AB26156" w:tentative="1">
      <w:start w:val="1"/>
      <w:numFmt w:val="bullet"/>
      <w:lvlText w:val=""/>
      <w:lvlJc w:val="left"/>
      <w:pPr>
        <w:tabs>
          <w:tab w:val="num" w:pos="5040"/>
        </w:tabs>
        <w:ind w:left="5040" w:hanging="360"/>
      </w:pPr>
      <w:rPr>
        <w:rFonts w:ascii="Symbol" w:hAnsi="Symbol" w:hint="default"/>
      </w:rPr>
    </w:lvl>
    <w:lvl w:ilvl="7" w:tplc="8DFCA360" w:tentative="1">
      <w:start w:val="1"/>
      <w:numFmt w:val="bullet"/>
      <w:lvlText w:val="o"/>
      <w:lvlJc w:val="left"/>
      <w:pPr>
        <w:tabs>
          <w:tab w:val="num" w:pos="5760"/>
        </w:tabs>
        <w:ind w:left="5760" w:hanging="360"/>
      </w:pPr>
      <w:rPr>
        <w:rFonts w:ascii="Courier New" w:hAnsi="Courier New" w:cs="Courier New" w:hint="default"/>
      </w:rPr>
    </w:lvl>
    <w:lvl w:ilvl="8" w:tplc="160C0BF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CC668D"/>
    <w:multiLevelType w:val="hybridMultilevel"/>
    <w:tmpl w:val="594C4DAE"/>
    <w:lvl w:ilvl="0" w:tplc="BE94D27A">
      <w:start w:val="1"/>
      <w:numFmt w:val="bullet"/>
      <w:pStyle w:val="Bullet4"/>
      <w:lvlText w:val=""/>
      <w:lvlJc w:val="left"/>
      <w:pPr>
        <w:tabs>
          <w:tab w:val="num" w:pos="2676"/>
        </w:tabs>
        <w:ind w:left="2676" w:hanging="357"/>
      </w:pPr>
      <w:rPr>
        <w:rFonts w:ascii="Symbol" w:hAnsi="Symbol" w:hint="default"/>
        <w:color w:val="000000"/>
      </w:rPr>
    </w:lvl>
    <w:lvl w:ilvl="1" w:tplc="13F05E12" w:tentative="1">
      <w:start w:val="1"/>
      <w:numFmt w:val="bullet"/>
      <w:lvlText w:val="o"/>
      <w:lvlJc w:val="left"/>
      <w:pPr>
        <w:tabs>
          <w:tab w:val="num" w:pos="1440"/>
        </w:tabs>
        <w:ind w:left="1440" w:hanging="360"/>
      </w:pPr>
      <w:rPr>
        <w:rFonts w:ascii="Courier New" w:hAnsi="Courier New" w:cs="Courier New" w:hint="default"/>
      </w:rPr>
    </w:lvl>
    <w:lvl w:ilvl="2" w:tplc="46D2634A" w:tentative="1">
      <w:start w:val="1"/>
      <w:numFmt w:val="bullet"/>
      <w:lvlText w:val=""/>
      <w:lvlJc w:val="left"/>
      <w:pPr>
        <w:tabs>
          <w:tab w:val="num" w:pos="2160"/>
        </w:tabs>
        <w:ind w:left="2160" w:hanging="360"/>
      </w:pPr>
      <w:rPr>
        <w:rFonts w:ascii="Wingdings" w:hAnsi="Wingdings" w:hint="default"/>
      </w:rPr>
    </w:lvl>
    <w:lvl w:ilvl="3" w:tplc="AE4657F2" w:tentative="1">
      <w:start w:val="1"/>
      <w:numFmt w:val="bullet"/>
      <w:lvlText w:val=""/>
      <w:lvlJc w:val="left"/>
      <w:pPr>
        <w:tabs>
          <w:tab w:val="num" w:pos="2880"/>
        </w:tabs>
        <w:ind w:left="2880" w:hanging="360"/>
      </w:pPr>
      <w:rPr>
        <w:rFonts w:ascii="Symbol" w:hAnsi="Symbol" w:hint="default"/>
      </w:rPr>
    </w:lvl>
    <w:lvl w:ilvl="4" w:tplc="4BB0362C" w:tentative="1">
      <w:start w:val="1"/>
      <w:numFmt w:val="bullet"/>
      <w:lvlText w:val="o"/>
      <w:lvlJc w:val="left"/>
      <w:pPr>
        <w:tabs>
          <w:tab w:val="num" w:pos="3600"/>
        </w:tabs>
        <w:ind w:left="3600" w:hanging="360"/>
      </w:pPr>
      <w:rPr>
        <w:rFonts w:ascii="Courier New" w:hAnsi="Courier New" w:cs="Courier New" w:hint="default"/>
      </w:rPr>
    </w:lvl>
    <w:lvl w:ilvl="5" w:tplc="8BBC191A" w:tentative="1">
      <w:start w:val="1"/>
      <w:numFmt w:val="bullet"/>
      <w:lvlText w:val=""/>
      <w:lvlJc w:val="left"/>
      <w:pPr>
        <w:tabs>
          <w:tab w:val="num" w:pos="4320"/>
        </w:tabs>
        <w:ind w:left="4320" w:hanging="360"/>
      </w:pPr>
      <w:rPr>
        <w:rFonts w:ascii="Wingdings" w:hAnsi="Wingdings" w:hint="default"/>
      </w:rPr>
    </w:lvl>
    <w:lvl w:ilvl="6" w:tplc="5EC8A93A" w:tentative="1">
      <w:start w:val="1"/>
      <w:numFmt w:val="bullet"/>
      <w:lvlText w:val=""/>
      <w:lvlJc w:val="left"/>
      <w:pPr>
        <w:tabs>
          <w:tab w:val="num" w:pos="5040"/>
        </w:tabs>
        <w:ind w:left="5040" w:hanging="360"/>
      </w:pPr>
      <w:rPr>
        <w:rFonts w:ascii="Symbol" w:hAnsi="Symbol" w:hint="default"/>
      </w:rPr>
    </w:lvl>
    <w:lvl w:ilvl="7" w:tplc="ADC6344E" w:tentative="1">
      <w:start w:val="1"/>
      <w:numFmt w:val="bullet"/>
      <w:lvlText w:val="o"/>
      <w:lvlJc w:val="left"/>
      <w:pPr>
        <w:tabs>
          <w:tab w:val="num" w:pos="5760"/>
        </w:tabs>
        <w:ind w:left="5760" w:hanging="360"/>
      </w:pPr>
      <w:rPr>
        <w:rFonts w:ascii="Courier New" w:hAnsi="Courier New" w:cs="Courier New" w:hint="default"/>
      </w:rPr>
    </w:lvl>
    <w:lvl w:ilvl="8" w:tplc="05EA19F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0" w15:restartNumberingAfterBreak="0">
    <w:nsid w:val="38130038"/>
    <w:multiLevelType w:val="hybridMultilevel"/>
    <w:tmpl w:val="FF8A0FAE"/>
    <w:lvl w:ilvl="0" w:tplc="36E2005A">
      <w:start w:val="1"/>
      <w:numFmt w:val="bullet"/>
      <w:pStyle w:val="ClauseBullet2"/>
      <w:lvlText w:val=""/>
      <w:lvlJc w:val="left"/>
      <w:pPr>
        <w:ind w:left="1440" w:hanging="360"/>
      </w:pPr>
      <w:rPr>
        <w:rFonts w:ascii="Symbol" w:hAnsi="Symbol" w:hint="default"/>
        <w:color w:val="000000"/>
      </w:rPr>
    </w:lvl>
    <w:lvl w:ilvl="1" w:tplc="BA8C00E6" w:tentative="1">
      <w:start w:val="1"/>
      <w:numFmt w:val="bullet"/>
      <w:lvlText w:val="o"/>
      <w:lvlJc w:val="left"/>
      <w:pPr>
        <w:ind w:left="2160" w:hanging="360"/>
      </w:pPr>
      <w:rPr>
        <w:rFonts w:ascii="Courier New" w:hAnsi="Courier New" w:cs="Courier New" w:hint="default"/>
      </w:rPr>
    </w:lvl>
    <w:lvl w:ilvl="2" w:tplc="B9B6FAA0" w:tentative="1">
      <w:start w:val="1"/>
      <w:numFmt w:val="bullet"/>
      <w:lvlText w:val=""/>
      <w:lvlJc w:val="left"/>
      <w:pPr>
        <w:ind w:left="2880" w:hanging="360"/>
      </w:pPr>
      <w:rPr>
        <w:rFonts w:ascii="Wingdings" w:hAnsi="Wingdings" w:hint="default"/>
      </w:rPr>
    </w:lvl>
    <w:lvl w:ilvl="3" w:tplc="7EF05EB4" w:tentative="1">
      <w:start w:val="1"/>
      <w:numFmt w:val="bullet"/>
      <w:lvlText w:val=""/>
      <w:lvlJc w:val="left"/>
      <w:pPr>
        <w:ind w:left="3600" w:hanging="360"/>
      </w:pPr>
      <w:rPr>
        <w:rFonts w:ascii="Symbol" w:hAnsi="Symbol" w:hint="default"/>
      </w:rPr>
    </w:lvl>
    <w:lvl w:ilvl="4" w:tplc="8618BAF2" w:tentative="1">
      <w:start w:val="1"/>
      <w:numFmt w:val="bullet"/>
      <w:lvlText w:val="o"/>
      <w:lvlJc w:val="left"/>
      <w:pPr>
        <w:ind w:left="4320" w:hanging="360"/>
      </w:pPr>
      <w:rPr>
        <w:rFonts w:ascii="Courier New" w:hAnsi="Courier New" w:cs="Courier New" w:hint="default"/>
      </w:rPr>
    </w:lvl>
    <w:lvl w:ilvl="5" w:tplc="79367F72" w:tentative="1">
      <w:start w:val="1"/>
      <w:numFmt w:val="bullet"/>
      <w:lvlText w:val=""/>
      <w:lvlJc w:val="left"/>
      <w:pPr>
        <w:ind w:left="5040" w:hanging="360"/>
      </w:pPr>
      <w:rPr>
        <w:rFonts w:ascii="Wingdings" w:hAnsi="Wingdings" w:hint="default"/>
      </w:rPr>
    </w:lvl>
    <w:lvl w:ilvl="6" w:tplc="D8C6D1C4" w:tentative="1">
      <w:start w:val="1"/>
      <w:numFmt w:val="bullet"/>
      <w:lvlText w:val=""/>
      <w:lvlJc w:val="left"/>
      <w:pPr>
        <w:ind w:left="5760" w:hanging="360"/>
      </w:pPr>
      <w:rPr>
        <w:rFonts w:ascii="Symbol" w:hAnsi="Symbol" w:hint="default"/>
      </w:rPr>
    </w:lvl>
    <w:lvl w:ilvl="7" w:tplc="0B04DCA0" w:tentative="1">
      <w:start w:val="1"/>
      <w:numFmt w:val="bullet"/>
      <w:lvlText w:val="o"/>
      <w:lvlJc w:val="left"/>
      <w:pPr>
        <w:ind w:left="6480" w:hanging="360"/>
      </w:pPr>
      <w:rPr>
        <w:rFonts w:ascii="Courier New" w:hAnsi="Courier New" w:cs="Courier New" w:hint="default"/>
      </w:rPr>
    </w:lvl>
    <w:lvl w:ilvl="8" w:tplc="AA785528" w:tentative="1">
      <w:start w:val="1"/>
      <w:numFmt w:val="bullet"/>
      <w:lvlText w:val=""/>
      <w:lvlJc w:val="left"/>
      <w:pPr>
        <w:ind w:left="7200" w:hanging="360"/>
      </w:pPr>
      <w:rPr>
        <w:rFonts w:ascii="Wingdings" w:hAnsi="Wingdings" w:hint="default"/>
      </w:rPr>
    </w:lvl>
  </w:abstractNum>
  <w:abstractNum w:abstractNumId="11" w15:restartNumberingAfterBreak="0">
    <w:nsid w:val="44D67987"/>
    <w:multiLevelType w:val="hybridMultilevel"/>
    <w:tmpl w:val="EBD6FB80"/>
    <w:lvl w:ilvl="0" w:tplc="08FC27C6">
      <w:start w:val="1"/>
      <w:numFmt w:val="bullet"/>
      <w:pStyle w:val="subclause1Bullet2"/>
      <w:lvlText w:val=""/>
      <w:lvlJc w:val="left"/>
      <w:pPr>
        <w:ind w:left="1440" w:hanging="360"/>
      </w:pPr>
      <w:rPr>
        <w:rFonts w:ascii="Symbol" w:hAnsi="Symbol" w:hint="default"/>
        <w:color w:val="000000"/>
      </w:rPr>
    </w:lvl>
    <w:lvl w:ilvl="1" w:tplc="23865416" w:tentative="1">
      <w:start w:val="1"/>
      <w:numFmt w:val="bullet"/>
      <w:lvlText w:val="o"/>
      <w:lvlJc w:val="left"/>
      <w:pPr>
        <w:ind w:left="2160" w:hanging="360"/>
      </w:pPr>
      <w:rPr>
        <w:rFonts w:ascii="Courier New" w:hAnsi="Courier New" w:cs="Courier New" w:hint="default"/>
      </w:rPr>
    </w:lvl>
    <w:lvl w:ilvl="2" w:tplc="3F4E26A8" w:tentative="1">
      <w:start w:val="1"/>
      <w:numFmt w:val="bullet"/>
      <w:lvlText w:val=""/>
      <w:lvlJc w:val="left"/>
      <w:pPr>
        <w:ind w:left="2880" w:hanging="360"/>
      </w:pPr>
      <w:rPr>
        <w:rFonts w:ascii="Wingdings" w:hAnsi="Wingdings" w:hint="default"/>
      </w:rPr>
    </w:lvl>
    <w:lvl w:ilvl="3" w:tplc="7840D394" w:tentative="1">
      <w:start w:val="1"/>
      <w:numFmt w:val="bullet"/>
      <w:lvlText w:val=""/>
      <w:lvlJc w:val="left"/>
      <w:pPr>
        <w:ind w:left="3600" w:hanging="360"/>
      </w:pPr>
      <w:rPr>
        <w:rFonts w:ascii="Symbol" w:hAnsi="Symbol" w:hint="default"/>
      </w:rPr>
    </w:lvl>
    <w:lvl w:ilvl="4" w:tplc="595696FA" w:tentative="1">
      <w:start w:val="1"/>
      <w:numFmt w:val="bullet"/>
      <w:lvlText w:val="o"/>
      <w:lvlJc w:val="left"/>
      <w:pPr>
        <w:ind w:left="4320" w:hanging="360"/>
      </w:pPr>
      <w:rPr>
        <w:rFonts w:ascii="Courier New" w:hAnsi="Courier New" w:cs="Courier New" w:hint="default"/>
      </w:rPr>
    </w:lvl>
    <w:lvl w:ilvl="5" w:tplc="85325FD2" w:tentative="1">
      <w:start w:val="1"/>
      <w:numFmt w:val="bullet"/>
      <w:lvlText w:val=""/>
      <w:lvlJc w:val="left"/>
      <w:pPr>
        <w:ind w:left="5040" w:hanging="360"/>
      </w:pPr>
      <w:rPr>
        <w:rFonts w:ascii="Wingdings" w:hAnsi="Wingdings" w:hint="default"/>
      </w:rPr>
    </w:lvl>
    <w:lvl w:ilvl="6" w:tplc="70AACD62" w:tentative="1">
      <w:start w:val="1"/>
      <w:numFmt w:val="bullet"/>
      <w:lvlText w:val=""/>
      <w:lvlJc w:val="left"/>
      <w:pPr>
        <w:ind w:left="5760" w:hanging="360"/>
      </w:pPr>
      <w:rPr>
        <w:rFonts w:ascii="Symbol" w:hAnsi="Symbol" w:hint="default"/>
      </w:rPr>
    </w:lvl>
    <w:lvl w:ilvl="7" w:tplc="B9D6BCDA" w:tentative="1">
      <w:start w:val="1"/>
      <w:numFmt w:val="bullet"/>
      <w:lvlText w:val="o"/>
      <w:lvlJc w:val="left"/>
      <w:pPr>
        <w:ind w:left="6480" w:hanging="360"/>
      </w:pPr>
      <w:rPr>
        <w:rFonts w:ascii="Courier New" w:hAnsi="Courier New" w:cs="Courier New" w:hint="default"/>
      </w:rPr>
    </w:lvl>
    <w:lvl w:ilvl="8" w:tplc="7ECE4A24" w:tentative="1">
      <w:start w:val="1"/>
      <w:numFmt w:val="bullet"/>
      <w:lvlText w:val=""/>
      <w:lvlJc w:val="left"/>
      <w:pPr>
        <w:ind w:left="7200" w:hanging="360"/>
      </w:pPr>
      <w:rPr>
        <w:rFonts w:ascii="Wingdings" w:hAnsi="Wingdings" w:hint="default"/>
      </w:rPr>
    </w:lvl>
  </w:abstractNum>
  <w:abstractNum w:abstractNumId="12" w15:restartNumberingAfterBreak="0">
    <w:nsid w:val="44E96665"/>
    <w:multiLevelType w:val="hybridMultilevel"/>
    <w:tmpl w:val="EF1E142A"/>
    <w:lvl w:ilvl="0" w:tplc="C468723C">
      <w:start w:val="1"/>
      <w:numFmt w:val="bullet"/>
      <w:pStyle w:val="subclause3Bullet1"/>
      <w:lvlText w:val=""/>
      <w:lvlJc w:val="left"/>
      <w:pPr>
        <w:ind w:left="2988" w:hanging="360"/>
      </w:pPr>
      <w:rPr>
        <w:rFonts w:ascii="Symbol" w:hAnsi="Symbol" w:hint="default"/>
        <w:color w:val="000000"/>
      </w:rPr>
    </w:lvl>
    <w:lvl w:ilvl="1" w:tplc="E38AA07C" w:tentative="1">
      <w:start w:val="1"/>
      <w:numFmt w:val="bullet"/>
      <w:lvlText w:val="o"/>
      <w:lvlJc w:val="left"/>
      <w:pPr>
        <w:ind w:left="3708" w:hanging="360"/>
      </w:pPr>
      <w:rPr>
        <w:rFonts w:ascii="Courier New" w:hAnsi="Courier New" w:cs="Courier New" w:hint="default"/>
      </w:rPr>
    </w:lvl>
    <w:lvl w:ilvl="2" w:tplc="57247FEC" w:tentative="1">
      <w:start w:val="1"/>
      <w:numFmt w:val="bullet"/>
      <w:lvlText w:val=""/>
      <w:lvlJc w:val="left"/>
      <w:pPr>
        <w:ind w:left="4428" w:hanging="360"/>
      </w:pPr>
      <w:rPr>
        <w:rFonts w:ascii="Wingdings" w:hAnsi="Wingdings" w:hint="default"/>
      </w:rPr>
    </w:lvl>
    <w:lvl w:ilvl="3" w:tplc="052483B2" w:tentative="1">
      <w:start w:val="1"/>
      <w:numFmt w:val="bullet"/>
      <w:lvlText w:val=""/>
      <w:lvlJc w:val="left"/>
      <w:pPr>
        <w:ind w:left="5148" w:hanging="360"/>
      </w:pPr>
      <w:rPr>
        <w:rFonts w:ascii="Symbol" w:hAnsi="Symbol" w:hint="default"/>
      </w:rPr>
    </w:lvl>
    <w:lvl w:ilvl="4" w:tplc="AE2422C8" w:tentative="1">
      <w:start w:val="1"/>
      <w:numFmt w:val="bullet"/>
      <w:lvlText w:val="o"/>
      <w:lvlJc w:val="left"/>
      <w:pPr>
        <w:ind w:left="5868" w:hanging="360"/>
      </w:pPr>
      <w:rPr>
        <w:rFonts w:ascii="Courier New" w:hAnsi="Courier New" w:cs="Courier New" w:hint="default"/>
      </w:rPr>
    </w:lvl>
    <w:lvl w:ilvl="5" w:tplc="C5B2E49A" w:tentative="1">
      <w:start w:val="1"/>
      <w:numFmt w:val="bullet"/>
      <w:lvlText w:val=""/>
      <w:lvlJc w:val="left"/>
      <w:pPr>
        <w:ind w:left="6588" w:hanging="360"/>
      </w:pPr>
      <w:rPr>
        <w:rFonts w:ascii="Wingdings" w:hAnsi="Wingdings" w:hint="default"/>
      </w:rPr>
    </w:lvl>
    <w:lvl w:ilvl="6" w:tplc="7908ABEC" w:tentative="1">
      <w:start w:val="1"/>
      <w:numFmt w:val="bullet"/>
      <w:lvlText w:val=""/>
      <w:lvlJc w:val="left"/>
      <w:pPr>
        <w:ind w:left="7308" w:hanging="360"/>
      </w:pPr>
      <w:rPr>
        <w:rFonts w:ascii="Symbol" w:hAnsi="Symbol" w:hint="default"/>
      </w:rPr>
    </w:lvl>
    <w:lvl w:ilvl="7" w:tplc="294CD2D6" w:tentative="1">
      <w:start w:val="1"/>
      <w:numFmt w:val="bullet"/>
      <w:lvlText w:val="o"/>
      <w:lvlJc w:val="left"/>
      <w:pPr>
        <w:ind w:left="8028" w:hanging="360"/>
      </w:pPr>
      <w:rPr>
        <w:rFonts w:ascii="Courier New" w:hAnsi="Courier New" w:cs="Courier New" w:hint="default"/>
      </w:rPr>
    </w:lvl>
    <w:lvl w:ilvl="8" w:tplc="0AEEB23A" w:tentative="1">
      <w:start w:val="1"/>
      <w:numFmt w:val="bullet"/>
      <w:lvlText w:val=""/>
      <w:lvlJc w:val="left"/>
      <w:pPr>
        <w:ind w:left="8748" w:hanging="360"/>
      </w:pPr>
      <w:rPr>
        <w:rFonts w:ascii="Wingdings" w:hAnsi="Wingdings" w:hint="default"/>
      </w:rPr>
    </w:lvl>
  </w:abstractNum>
  <w:abstractNum w:abstractNumId="13" w15:restartNumberingAfterBreak="0">
    <w:nsid w:val="46AC04C6"/>
    <w:multiLevelType w:val="hybridMultilevel"/>
    <w:tmpl w:val="E6C47700"/>
    <w:lvl w:ilvl="0" w:tplc="01E89522">
      <w:start w:val="1"/>
      <w:numFmt w:val="bullet"/>
      <w:pStyle w:val="subclause2Bullet1"/>
      <w:lvlText w:val=""/>
      <w:lvlJc w:val="left"/>
      <w:pPr>
        <w:ind w:left="2279" w:hanging="360"/>
      </w:pPr>
      <w:rPr>
        <w:rFonts w:ascii="Symbol" w:hAnsi="Symbol" w:hint="default"/>
        <w:color w:val="000000"/>
      </w:rPr>
    </w:lvl>
    <w:lvl w:ilvl="1" w:tplc="C1C8B4C4" w:tentative="1">
      <w:start w:val="1"/>
      <w:numFmt w:val="bullet"/>
      <w:lvlText w:val="o"/>
      <w:lvlJc w:val="left"/>
      <w:pPr>
        <w:ind w:left="2999" w:hanging="360"/>
      </w:pPr>
      <w:rPr>
        <w:rFonts w:ascii="Courier New" w:hAnsi="Courier New" w:cs="Courier New" w:hint="default"/>
      </w:rPr>
    </w:lvl>
    <w:lvl w:ilvl="2" w:tplc="335CBC82" w:tentative="1">
      <w:start w:val="1"/>
      <w:numFmt w:val="bullet"/>
      <w:lvlText w:val=""/>
      <w:lvlJc w:val="left"/>
      <w:pPr>
        <w:ind w:left="3719" w:hanging="360"/>
      </w:pPr>
      <w:rPr>
        <w:rFonts w:ascii="Wingdings" w:hAnsi="Wingdings" w:hint="default"/>
      </w:rPr>
    </w:lvl>
    <w:lvl w:ilvl="3" w:tplc="7C125ED0" w:tentative="1">
      <w:start w:val="1"/>
      <w:numFmt w:val="bullet"/>
      <w:lvlText w:val=""/>
      <w:lvlJc w:val="left"/>
      <w:pPr>
        <w:ind w:left="4439" w:hanging="360"/>
      </w:pPr>
      <w:rPr>
        <w:rFonts w:ascii="Symbol" w:hAnsi="Symbol" w:hint="default"/>
      </w:rPr>
    </w:lvl>
    <w:lvl w:ilvl="4" w:tplc="E9A85EFA" w:tentative="1">
      <w:start w:val="1"/>
      <w:numFmt w:val="bullet"/>
      <w:lvlText w:val="o"/>
      <w:lvlJc w:val="left"/>
      <w:pPr>
        <w:ind w:left="5159" w:hanging="360"/>
      </w:pPr>
      <w:rPr>
        <w:rFonts w:ascii="Courier New" w:hAnsi="Courier New" w:cs="Courier New" w:hint="default"/>
      </w:rPr>
    </w:lvl>
    <w:lvl w:ilvl="5" w:tplc="293ADFF0" w:tentative="1">
      <w:start w:val="1"/>
      <w:numFmt w:val="bullet"/>
      <w:lvlText w:val=""/>
      <w:lvlJc w:val="left"/>
      <w:pPr>
        <w:ind w:left="5879" w:hanging="360"/>
      </w:pPr>
      <w:rPr>
        <w:rFonts w:ascii="Wingdings" w:hAnsi="Wingdings" w:hint="default"/>
      </w:rPr>
    </w:lvl>
    <w:lvl w:ilvl="6" w:tplc="97B0DBF2" w:tentative="1">
      <w:start w:val="1"/>
      <w:numFmt w:val="bullet"/>
      <w:lvlText w:val=""/>
      <w:lvlJc w:val="left"/>
      <w:pPr>
        <w:ind w:left="6599" w:hanging="360"/>
      </w:pPr>
      <w:rPr>
        <w:rFonts w:ascii="Symbol" w:hAnsi="Symbol" w:hint="default"/>
      </w:rPr>
    </w:lvl>
    <w:lvl w:ilvl="7" w:tplc="886038D2" w:tentative="1">
      <w:start w:val="1"/>
      <w:numFmt w:val="bullet"/>
      <w:lvlText w:val="o"/>
      <w:lvlJc w:val="left"/>
      <w:pPr>
        <w:ind w:left="7319" w:hanging="360"/>
      </w:pPr>
      <w:rPr>
        <w:rFonts w:ascii="Courier New" w:hAnsi="Courier New" w:cs="Courier New" w:hint="default"/>
      </w:rPr>
    </w:lvl>
    <w:lvl w:ilvl="8" w:tplc="1DE8B6BA" w:tentative="1">
      <w:start w:val="1"/>
      <w:numFmt w:val="bullet"/>
      <w:lvlText w:val=""/>
      <w:lvlJc w:val="left"/>
      <w:pPr>
        <w:ind w:left="8039" w:hanging="360"/>
      </w:pPr>
      <w:rPr>
        <w:rFonts w:ascii="Wingdings" w:hAnsi="Wingdings" w:hint="default"/>
      </w:rPr>
    </w:lvl>
  </w:abstractNum>
  <w:abstractNum w:abstractNumId="14" w15:restartNumberingAfterBreak="0">
    <w:nsid w:val="47F42723"/>
    <w:multiLevelType w:val="hybridMultilevel"/>
    <w:tmpl w:val="C5A02EE6"/>
    <w:lvl w:ilvl="0" w:tplc="A600F73C">
      <w:start w:val="1"/>
      <w:numFmt w:val="bullet"/>
      <w:pStyle w:val="subclause1Bullet1"/>
      <w:lvlText w:val=""/>
      <w:lvlJc w:val="left"/>
      <w:pPr>
        <w:ind w:left="1440" w:hanging="360"/>
      </w:pPr>
      <w:rPr>
        <w:rFonts w:ascii="Symbol" w:hAnsi="Symbol" w:hint="default"/>
        <w:color w:val="000000"/>
      </w:rPr>
    </w:lvl>
    <w:lvl w:ilvl="1" w:tplc="79FADAC8" w:tentative="1">
      <w:start w:val="1"/>
      <w:numFmt w:val="bullet"/>
      <w:lvlText w:val="o"/>
      <w:lvlJc w:val="left"/>
      <w:pPr>
        <w:ind w:left="2160" w:hanging="360"/>
      </w:pPr>
      <w:rPr>
        <w:rFonts w:ascii="Courier New" w:hAnsi="Courier New" w:cs="Courier New" w:hint="default"/>
      </w:rPr>
    </w:lvl>
    <w:lvl w:ilvl="2" w:tplc="B08C6F84" w:tentative="1">
      <w:start w:val="1"/>
      <w:numFmt w:val="bullet"/>
      <w:lvlText w:val=""/>
      <w:lvlJc w:val="left"/>
      <w:pPr>
        <w:ind w:left="2880" w:hanging="360"/>
      </w:pPr>
      <w:rPr>
        <w:rFonts w:ascii="Wingdings" w:hAnsi="Wingdings" w:hint="default"/>
      </w:rPr>
    </w:lvl>
    <w:lvl w:ilvl="3" w:tplc="94A610D4" w:tentative="1">
      <w:start w:val="1"/>
      <w:numFmt w:val="bullet"/>
      <w:lvlText w:val=""/>
      <w:lvlJc w:val="left"/>
      <w:pPr>
        <w:ind w:left="3600" w:hanging="360"/>
      </w:pPr>
      <w:rPr>
        <w:rFonts w:ascii="Symbol" w:hAnsi="Symbol" w:hint="default"/>
      </w:rPr>
    </w:lvl>
    <w:lvl w:ilvl="4" w:tplc="DA9E73EA" w:tentative="1">
      <w:start w:val="1"/>
      <w:numFmt w:val="bullet"/>
      <w:lvlText w:val="o"/>
      <w:lvlJc w:val="left"/>
      <w:pPr>
        <w:ind w:left="4320" w:hanging="360"/>
      </w:pPr>
      <w:rPr>
        <w:rFonts w:ascii="Courier New" w:hAnsi="Courier New" w:cs="Courier New" w:hint="default"/>
      </w:rPr>
    </w:lvl>
    <w:lvl w:ilvl="5" w:tplc="59FEFB78" w:tentative="1">
      <w:start w:val="1"/>
      <w:numFmt w:val="bullet"/>
      <w:lvlText w:val=""/>
      <w:lvlJc w:val="left"/>
      <w:pPr>
        <w:ind w:left="5040" w:hanging="360"/>
      </w:pPr>
      <w:rPr>
        <w:rFonts w:ascii="Wingdings" w:hAnsi="Wingdings" w:hint="default"/>
      </w:rPr>
    </w:lvl>
    <w:lvl w:ilvl="6" w:tplc="C8EA6DC2" w:tentative="1">
      <w:start w:val="1"/>
      <w:numFmt w:val="bullet"/>
      <w:lvlText w:val=""/>
      <w:lvlJc w:val="left"/>
      <w:pPr>
        <w:ind w:left="5760" w:hanging="360"/>
      </w:pPr>
      <w:rPr>
        <w:rFonts w:ascii="Symbol" w:hAnsi="Symbol" w:hint="default"/>
      </w:rPr>
    </w:lvl>
    <w:lvl w:ilvl="7" w:tplc="4070949E" w:tentative="1">
      <w:start w:val="1"/>
      <w:numFmt w:val="bullet"/>
      <w:lvlText w:val="o"/>
      <w:lvlJc w:val="left"/>
      <w:pPr>
        <w:ind w:left="6480" w:hanging="360"/>
      </w:pPr>
      <w:rPr>
        <w:rFonts w:ascii="Courier New" w:hAnsi="Courier New" w:cs="Courier New" w:hint="default"/>
      </w:rPr>
    </w:lvl>
    <w:lvl w:ilvl="8" w:tplc="F5E4D9F8" w:tentative="1">
      <w:start w:val="1"/>
      <w:numFmt w:val="bullet"/>
      <w:lvlText w:val=""/>
      <w:lvlJc w:val="left"/>
      <w:pPr>
        <w:ind w:left="7200" w:hanging="360"/>
      </w:pPr>
      <w:rPr>
        <w:rFonts w:ascii="Wingdings" w:hAnsi="Wingdings" w:hint="default"/>
      </w:rPr>
    </w:lvl>
  </w:abstractNum>
  <w:abstractNum w:abstractNumId="15" w15:restartNumberingAfterBreak="0">
    <w:nsid w:val="55CB0AF0"/>
    <w:multiLevelType w:val="hybridMultilevel"/>
    <w:tmpl w:val="EB98B43A"/>
    <w:lvl w:ilvl="0" w:tplc="3AAEB3AE">
      <w:start w:val="1"/>
      <w:numFmt w:val="decimal"/>
      <w:pStyle w:val="LongQuestionPara"/>
      <w:lvlText w:val="%1."/>
      <w:lvlJc w:val="left"/>
      <w:pPr>
        <w:ind w:left="360" w:hanging="360"/>
      </w:pPr>
      <w:rPr>
        <w:rFonts w:hint="default"/>
        <w:b/>
        <w:i w:val="0"/>
        <w:color w:val="000000"/>
        <w:sz w:val="24"/>
      </w:rPr>
    </w:lvl>
    <w:lvl w:ilvl="1" w:tplc="CFF4471A" w:tentative="1">
      <w:start w:val="1"/>
      <w:numFmt w:val="lowerLetter"/>
      <w:lvlText w:val="%2."/>
      <w:lvlJc w:val="left"/>
      <w:pPr>
        <w:ind w:left="1440" w:hanging="360"/>
      </w:pPr>
    </w:lvl>
    <w:lvl w:ilvl="2" w:tplc="418AA860" w:tentative="1">
      <w:start w:val="1"/>
      <w:numFmt w:val="lowerRoman"/>
      <w:lvlText w:val="%3."/>
      <w:lvlJc w:val="right"/>
      <w:pPr>
        <w:ind w:left="2160" w:hanging="180"/>
      </w:pPr>
    </w:lvl>
    <w:lvl w:ilvl="3" w:tplc="0F708FD0" w:tentative="1">
      <w:start w:val="1"/>
      <w:numFmt w:val="decimal"/>
      <w:lvlText w:val="%4."/>
      <w:lvlJc w:val="left"/>
      <w:pPr>
        <w:ind w:left="2880" w:hanging="360"/>
      </w:pPr>
    </w:lvl>
    <w:lvl w:ilvl="4" w:tplc="B1D81C64" w:tentative="1">
      <w:start w:val="1"/>
      <w:numFmt w:val="lowerLetter"/>
      <w:lvlText w:val="%5."/>
      <w:lvlJc w:val="left"/>
      <w:pPr>
        <w:ind w:left="3600" w:hanging="360"/>
      </w:pPr>
    </w:lvl>
    <w:lvl w:ilvl="5" w:tplc="6F3017E8" w:tentative="1">
      <w:start w:val="1"/>
      <w:numFmt w:val="lowerRoman"/>
      <w:lvlText w:val="%6."/>
      <w:lvlJc w:val="right"/>
      <w:pPr>
        <w:ind w:left="4320" w:hanging="180"/>
      </w:pPr>
    </w:lvl>
    <w:lvl w:ilvl="6" w:tplc="98B28C30" w:tentative="1">
      <w:start w:val="1"/>
      <w:numFmt w:val="decimal"/>
      <w:lvlText w:val="%7."/>
      <w:lvlJc w:val="left"/>
      <w:pPr>
        <w:ind w:left="5040" w:hanging="360"/>
      </w:pPr>
    </w:lvl>
    <w:lvl w:ilvl="7" w:tplc="A440A940" w:tentative="1">
      <w:start w:val="1"/>
      <w:numFmt w:val="lowerLetter"/>
      <w:lvlText w:val="%8."/>
      <w:lvlJc w:val="left"/>
      <w:pPr>
        <w:ind w:left="5760" w:hanging="360"/>
      </w:pPr>
    </w:lvl>
    <w:lvl w:ilvl="8" w:tplc="80F0E798" w:tentative="1">
      <w:start w:val="1"/>
      <w:numFmt w:val="lowerRoman"/>
      <w:lvlText w:val="%9."/>
      <w:lvlJc w:val="right"/>
      <w:pPr>
        <w:ind w:left="6480" w:hanging="180"/>
      </w:pPr>
    </w:lvl>
  </w:abstractNum>
  <w:abstractNum w:abstractNumId="16"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7" w15:restartNumberingAfterBreak="0">
    <w:nsid w:val="61071422"/>
    <w:multiLevelType w:val="hybridMultilevel"/>
    <w:tmpl w:val="59B858D8"/>
    <w:lvl w:ilvl="0" w:tplc="D66438C4">
      <w:start w:val="1"/>
      <w:numFmt w:val="bullet"/>
      <w:pStyle w:val="ClauseBullet1"/>
      <w:lvlText w:val=""/>
      <w:lvlJc w:val="left"/>
      <w:pPr>
        <w:ind w:left="1080" w:hanging="360"/>
      </w:pPr>
      <w:rPr>
        <w:rFonts w:ascii="Symbol" w:hAnsi="Symbol" w:hint="default"/>
        <w:color w:val="000000"/>
      </w:rPr>
    </w:lvl>
    <w:lvl w:ilvl="1" w:tplc="21320428" w:tentative="1">
      <w:start w:val="1"/>
      <w:numFmt w:val="bullet"/>
      <w:lvlText w:val="o"/>
      <w:lvlJc w:val="left"/>
      <w:pPr>
        <w:ind w:left="1800" w:hanging="360"/>
      </w:pPr>
      <w:rPr>
        <w:rFonts w:ascii="Courier New" w:hAnsi="Courier New" w:cs="Courier New" w:hint="default"/>
      </w:rPr>
    </w:lvl>
    <w:lvl w:ilvl="2" w:tplc="B6FEDF74" w:tentative="1">
      <w:start w:val="1"/>
      <w:numFmt w:val="bullet"/>
      <w:lvlText w:val=""/>
      <w:lvlJc w:val="left"/>
      <w:pPr>
        <w:ind w:left="2520" w:hanging="360"/>
      </w:pPr>
      <w:rPr>
        <w:rFonts w:ascii="Wingdings" w:hAnsi="Wingdings" w:hint="default"/>
      </w:rPr>
    </w:lvl>
    <w:lvl w:ilvl="3" w:tplc="1ECA7798" w:tentative="1">
      <w:start w:val="1"/>
      <w:numFmt w:val="bullet"/>
      <w:lvlText w:val=""/>
      <w:lvlJc w:val="left"/>
      <w:pPr>
        <w:ind w:left="3240" w:hanging="360"/>
      </w:pPr>
      <w:rPr>
        <w:rFonts w:ascii="Symbol" w:hAnsi="Symbol" w:hint="default"/>
      </w:rPr>
    </w:lvl>
    <w:lvl w:ilvl="4" w:tplc="A62A21D6" w:tentative="1">
      <w:start w:val="1"/>
      <w:numFmt w:val="bullet"/>
      <w:lvlText w:val="o"/>
      <w:lvlJc w:val="left"/>
      <w:pPr>
        <w:ind w:left="3960" w:hanging="360"/>
      </w:pPr>
      <w:rPr>
        <w:rFonts w:ascii="Courier New" w:hAnsi="Courier New" w:cs="Courier New" w:hint="default"/>
      </w:rPr>
    </w:lvl>
    <w:lvl w:ilvl="5" w:tplc="62A258F0" w:tentative="1">
      <w:start w:val="1"/>
      <w:numFmt w:val="bullet"/>
      <w:lvlText w:val=""/>
      <w:lvlJc w:val="left"/>
      <w:pPr>
        <w:ind w:left="4680" w:hanging="360"/>
      </w:pPr>
      <w:rPr>
        <w:rFonts w:ascii="Wingdings" w:hAnsi="Wingdings" w:hint="default"/>
      </w:rPr>
    </w:lvl>
    <w:lvl w:ilvl="6" w:tplc="61624968" w:tentative="1">
      <w:start w:val="1"/>
      <w:numFmt w:val="bullet"/>
      <w:lvlText w:val=""/>
      <w:lvlJc w:val="left"/>
      <w:pPr>
        <w:ind w:left="5400" w:hanging="360"/>
      </w:pPr>
      <w:rPr>
        <w:rFonts w:ascii="Symbol" w:hAnsi="Symbol" w:hint="default"/>
      </w:rPr>
    </w:lvl>
    <w:lvl w:ilvl="7" w:tplc="9E744DCC" w:tentative="1">
      <w:start w:val="1"/>
      <w:numFmt w:val="bullet"/>
      <w:lvlText w:val="o"/>
      <w:lvlJc w:val="left"/>
      <w:pPr>
        <w:ind w:left="6120" w:hanging="360"/>
      </w:pPr>
      <w:rPr>
        <w:rFonts w:ascii="Courier New" w:hAnsi="Courier New" w:cs="Courier New" w:hint="default"/>
      </w:rPr>
    </w:lvl>
    <w:lvl w:ilvl="8" w:tplc="FDDCABB4" w:tentative="1">
      <w:start w:val="1"/>
      <w:numFmt w:val="bullet"/>
      <w:lvlText w:val=""/>
      <w:lvlJc w:val="left"/>
      <w:pPr>
        <w:ind w:left="6840" w:hanging="360"/>
      </w:pPr>
      <w:rPr>
        <w:rFonts w:ascii="Wingdings" w:hAnsi="Wingdings" w:hint="default"/>
      </w:rPr>
    </w:lvl>
  </w:abstractNum>
  <w:abstractNum w:abstractNumId="18" w15:restartNumberingAfterBreak="0">
    <w:nsid w:val="642371CD"/>
    <w:multiLevelType w:val="hybridMultilevel"/>
    <w:tmpl w:val="3B76A654"/>
    <w:lvl w:ilvl="0" w:tplc="45A2EC86">
      <w:start w:val="1"/>
      <w:numFmt w:val="bullet"/>
      <w:pStyle w:val="subclause3Bullet2"/>
      <w:lvlText w:val=""/>
      <w:lvlJc w:val="left"/>
      <w:pPr>
        <w:ind w:left="3748" w:hanging="360"/>
      </w:pPr>
      <w:rPr>
        <w:rFonts w:ascii="Symbol" w:hAnsi="Symbol" w:hint="default"/>
        <w:color w:val="000000"/>
      </w:rPr>
    </w:lvl>
    <w:lvl w:ilvl="1" w:tplc="7790543C" w:tentative="1">
      <w:start w:val="1"/>
      <w:numFmt w:val="bullet"/>
      <w:lvlText w:val="o"/>
      <w:lvlJc w:val="left"/>
      <w:pPr>
        <w:ind w:left="4468" w:hanging="360"/>
      </w:pPr>
      <w:rPr>
        <w:rFonts w:ascii="Courier New" w:hAnsi="Courier New" w:cs="Courier New" w:hint="default"/>
      </w:rPr>
    </w:lvl>
    <w:lvl w:ilvl="2" w:tplc="E794D314" w:tentative="1">
      <w:start w:val="1"/>
      <w:numFmt w:val="bullet"/>
      <w:lvlText w:val=""/>
      <w:lvlJc w:val="left"/>
      <w:pPr>
        <w:ind w:left="5188" w:hanging="360"/>
      </w:pPr>
      <w:rPr>
        <w:rFonts w:ascii="Wingdings" w:hAnsi="Wingdings" w:hint="default"/>
      </w:rPr>
    </w:lvl>
    <w:lvl w:ilvl="3" w:tplc="3D5A21D0" w:tentative="1">
      <w:start w:val="1"/>
      <w:numFmt w:val="bullet"/>
      <w:lvlText w:val=""/>
      <w:lvlJc w:val="left"/>
      <w:pPr>
        <w:ind w:left="5908" w:hanging="360"/>
      </w:pPr>
      <w:rPr>
        <w:rFonts w:ascii="Symbol" w:hAnsi="Symbol" w:hint="default"/>
      </w:rPr>
    </w:lvl>
    <w:lvl w:ilvl="4" w:tplc="87788590" w:tentative="1">
      <w:start w:val="1"/>
      <w:numFmt w:val="bullet"/>
      <w:lvlText w:val="o"/>
      <w:lvlJc w:val="left"/>
      <w:pPr>
        <w:ind w:left="6628" w:hanging="360"/>
      </w:pPr>
      <w:rPr>
        <w:rFonts w:ascii="Courier New" w:hAnsi="Courier New" w:cs="Courier New" w:hint="default"/>
      </w:rPr>
    </w:lvl>
    <w:lvl w:ilvl="5" w:tplc="5CA0F568" w:tentative="1">
      <w:start w:val="1"/>
      <w:numFmt w:val="bullet"/>
      <w:lvlText w:val=""/>
      <w:lvlJc w:val="left"/>
      <w:pPr>
        <w:ind w:left="7348" w:hanging="360"/>
      </w:pPr>
      <w:rPr>
        <w:rFonts w:ascii="Wingdings" w:hAnsi="Wingdings" w:hint="default"/>
      </w:rPr>
    </w:lvl>
    <w:lvl w:ilvl="6" w:tplc="2AC4F52A" w:tentative="1">
      <w:start w:val="1"/>
      <w:numFmt w:val="bullet"/>
      <w:lvlText w:val=""/>
      <w:lvlJc w:val="left"/>
      <w:pPr>
        <w:ind w:left="8068" w:hanging="360"/>
      </w:pPr>
      <w:rPr>
        <w:rFonts w:ascii="Symbol" w:hAnsi="Symbol" w:hint="default"/>
      </w:rPr>
    </w:lvl>
    <w:lvl w:ilvl="7" w:tplc="148EDA3C" w:tentative="1">
      <w:start w:val="1"/>
      <w:numFmt w:val="bullet"/>
      <w:lvlText w:val="o"/>
      <w:lvlJc w:val="left"/>
      <w:pPr>
        <w:ind w:left="8788" w:hanging="360"/>
      </w:pPr>
      <w:rPr>
        <w:rFonts w:ascii="Courier New" w:hAnsi="Courier New" w:cs="Courier New" w:hint="default"/>
      </w:rPr>
    </w:lvl>
    <w:lvl w:ilvl="8" w:tplc="A9CEED9C" w:tentative="1">
      <w:start w:val="1"/>
      <w:numFmt w:val="bullet"/>
      <w:lvlText w:val=""/>
      <w:lvlJc w:val="left"/>
      <w:pPr>
        <w:ind w:left="9508" w:hanging="360"/>
      </w:pPr>
      <w:rPr>
        <w:rFonts w:ascii="Wingdings" w:hAnsi="Wingdings" w:hint="default"/>
      </w:rPr>
    </w:lvl>
  </w:abstractNum>
  <w:abstractNum w:abstractNumId="19"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0" w15:restartNumberingAfterBreak="0">
    <w:nsid w:val="6A14466B"/>
    <w:multiLevelType w:val="hybridMultilevel"/>
    <w:tmpl w:val="2402A666"/>
    <w:lvl w:ilvl="0" w:tplc="E9B4336C">
      <w:start w:val="1"/>
      <w:numFmt w:val="bullet"/>
      <w:pStyle w:val="BulletList1"/>
      <w:lvlText w:val="·"/>
      <w:lvlJc w:val="left"/>
      <w:pPr>
        <w:tabs>
          <w:tab w:val="num" w:pos="360"/>
        </w:tabs>
        <w:ind w:left="360" w:hanging="360"/>
      </w:pPr>
      <w:rPr>
        <w:rFonts w:ascii="Symbol" w:hAnsi="Symbol" w:hint="default"/>
        <w:color w:val="000000"/>
      </w:rPr>
    </w:lvl>
    <w:lvl w:ilvl="1" w:tplc="1794FDDE" w:tentative="1">
      <w:start w:val="1"/>
      <w:numFmt w:val="bullet"/>
      <w:lvlText w:val="·"/>
      <w:lvlJc w:val="left"/>
      <w:pPr>
        <w:tabs>
          <w:tab w:val="num" w:pos="1440"/>
        </w:tabs>
        <w:ind w:left="1440" w:hanging="360"/>
      </w:pPr>
      <w:rPr>
        <w:rFonts w:ascii="Symbol" w:hAnsi="Symbol" w:hint="default"/>
      </w:rPr>
    </w:lvl>
    <w:lvl w:ilvl="2" w:tplc="B52E3A28" w:tentative="1">
      <w:start w:val="1"/>
      <w:numFmt w:val="bullet"/>
      <w:lvlText w:val="·"/>
      <w:lvlJc w:val="left"/>
      <w:pPr>
        <w:tabs>
          <w:tab w:val="num" w:pos="2160"/>
        </w:tabs>
        <w:ind w:left="2160" w:hanging="360"/>
      </w:pPr>
      <w:rPr>
        <w:rFonts w:ascii="Symbol" w:hAnsi="Symbol" w:hint="default"/>
      </w:rPr>
    </w:lvl>
    <w:lvl w:ilvl="3" w:tplc="6882D7C8" w:tentative="1">
      <w:start w:val="1"/>
      <w:numFmt w:val="bullet"/>
      <w:lvlText w:val="·"/>
      <w:lvlJc w:val="left"/>
      <w:pPr>
        <w:tabs>
          <w:tab w:val="num" w:pos="2880"/>
        </w:tabs>
        <w:ind w:left="2880" w:hanging="360"/>
      </w:pPr>
      <w:rPr>
        <w:rFonts w:ascii="Symbol" w:hAnsi="Symbol" w:hint="default"/>
      </w:rPr>
    </w:lvl>
    <w:lvl w:ilvl="4" w:tplc="CBF65114" w:tentative="1">
      <w:start w:val="1"/>
      <w:numFmt w:val="bullet"/>
      <w:lvlText w:val="o"/>
      <w:lvlJc w:val="left"/>
      <w:pPr>
        <w:tabs>
          <w:tab w:val="num" w:pos="3600"/>
        </w:tabs>
        <w:ind w:left="3600" w:hanging="360"/>
      </w:pPr>
      <w:rPr>
        <w:rFonts w:ascii="Courier New" w:hAnsi="Courier New" w:hint="default"/>
      </w:rPr>
    </w:lvl>
    <w:lvl w:ilvl="5" w:tplc="FE8E14EC" w:tentative="1">
      <w:start w:val="1"/>
      <w:numFmt w:val="bullet"/>
      <w:lvlText w:val="§"/>
      <w:lvlJc w:val="left"/>
      <w:pPr>
        <w:tabs>
          <w:tab w:val="num" w:pos="4320"/>
        </w:tabs>
        <w:ind w:left="4320" w:hanging="360"/>
      </w:pPr>
      <w:rPr>
        <w:rFonts w:ascii="Wingdings" w:hAnsi="Wingdings" w:hint="default"/>
      </w:rPr>
    </w:lvl>
    <w:lvl w:ilvl="6" w:tplc="0AE8B48A" w:tentative="1">
      <w:start w:val="1"/>
      <w:numFmt w:val="bullet"/>
      <w:lvlText w:val="·"/>
      <w:lvlJc w:val="left"/>
      <w:pPr>
        <w:tabs>
          <w:tab w:val="num" w:pos="5040"/>
        </w:tabs>
        <w:ind w:left="5040" w:hanging="360"/>
      </w:pPr>
      <w:rPr>
        <w:rFonts w:ascii="Symbol" w:hAnsi="Symbol" w:hint="default"/>
      </w:rPr>
    </w:lvl>
    <w:lvl w:ilvl="7" w:tplc="BA62CF58" w:tentative="1">
      <w:start w:val="1"/>
      <w:numFmt w:val="bullet"/>
      <w:lvlText w:val="o"/>
      <w:lvlJc w:val="left"/>
      <w:pPr>
        <w:tabs>
          <w:tab w:val="num" w:pos="5760"/>
        </w:tabs>
        <w:ind w:left="5760" w:hanging="360"/>
      </w:pPr>
      <w:rPr>
        <w:rFonts w:ascii="Courier New" w:hAnsi="Courier New" w:hint="default"/>
      </w:rPr>
    </w:lvl>
    <w:lvl w:ilvl="8" w:tplc="EF46D9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ED95D14"/>
    <w:multiLevelType w:val="multilevel"/>
    <w:tmpl w:val="24843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DB5644F"/>
    <w:multiLevelType w:val="hybridMultilevel"/>
    <w:tmpl w:val="8BCC9C08"/>
    <w:lvl w:ilvl="0" w:tplc="5118853A">
      <w:start w:val="1"/>
      <w:numFmt w:val="bullet"/>
      <w:pStyle w:val="BulletList3"/>
      <w:lvlText w:val=""/>
      <w:lvlJc w:val="left"/>
      <w:pPr>
        <w:tabs>
          <w:tab w:val="num" w:pos="1945"/>
        </w:tabs>
        <w:ind w:left="1945" w:hanging="357"/>
      </w:pPr>
      <w:rPr>
        <w:rFonts w:ascii="Symbol" w:hAnsi="Symbol" w:hint="default"/>
        <w:color w:val="000000"/>
      </w:rPr>
    </w:lvl>
    <w:lvl w:ilvl="1" w:tplc="81F4F088" w:tentative="1">
      <w:start w:val="1"/>
      <w:numFmt w:val="bullet"/>
      <w:lvlText w:val="o"/>
      <w:lvlJc w:val="left"/>
      <w:pPr>
        <w:tabs>
          <w:tab w:val="num" w:pos="1440"/>
        </w:tabs>
        <w:ind w:left="1440" w:hanging="360"/>
      </w:pPr>
      <w:rPr>
        <w:rFonts w:ascii="Courier New" w:hAnsi="Courier New" w:cs="Courier New" w:hint="default"/>
      </w:rPr>
    </w:lvl>
    <w:lvl w:ilvl="2" w:tplc="4ABC9900" w:tentative="1">
      <w:start w:val="1"/>
      <w:numFmt w:val="bullet"/>
      <w:lvlText w:val=""/>
      <w:lvlJc w:val="left"/>
      <w:pPr>
        <w:tabs>
          <w:tab w:val="num" w:pos="2160"/>
        </w:tabs>
        <w:ind w:left="2160" w:hanging="360"/>
      </w:pPr>
      <w:rPr>
        <w:rFonts w:ascii="Wingdings" w:hAnsi="Wingdings" w:hint="default"/>
      </w:rPr>
    </w:lvl>
    <w:lvl w:ilvl="3" w:tplc="1AFCB952" w:tentative="1">
      <w:start w:val="1"/>
      <w:numFmt w:val="bullet"/>
      <w:lvlText w:val=""/>
      <w:lvlJc w:val="left"/>
      <w:pPr>
        <w:tabs>
          <w:tab w:val="num" w:pos="2880"/>
        </w:tabs>
        <w:ind w:left="2880" w:hanging="360"/>
      </w:pPr>
      <w:rPr>
        <w:rFonts w:ascii="Symbol" w:hAnsi="Symbol" w:hint="default"/>
      </w:rPr>
    </w:lvl>
    <w:lvl w:ilvl="4" w:tplc="10108FB2" w:tentative="1">
      <w:start w:val="1"/>
      <w:numFmt w:val="bullet"/>
      <w:lvlText w:val="o"/>
      <w:lvlJc w:val="left"/>
      <w:pPr>
        <w:tabs>
          <w:tab w:val="num" w:pos="3600"/>
        </w:tabs>
        <w:ind w:left="3600" w:hanging="360"/>
      </w:pPr>
      <w:rPr>
        <w:rFonts w:ascii="Courier New" w:hAnsi="Courier New" w:cs="Courier New" w:hint="default"/>
      </w:rPr>
    </w:lvl>
    <w:lvl w:ilvl="5" w:tplc="147C4082" w:tentative="1">
      <w:start w:val="1"/>
      <w:numFmt w:val="bullet"/>
      <w:lvlText w:val=""/>
      <w:lvlJc w:val="left"/>
      <w:pPr>
        <w:tabs>
          <w:tab w:val="num" w:pos="4320"/>
        </w:tabs>
        <w:ind w:left="4320" w:hanging="360"/>
      </w:pPr>
      <w:rPr>
        <w:rFonts w:ascii="Wingdings" w:hAnsi="Wingdings" w:hint="default"/>
      </w:rPr>
    </w:lvl>
    <w:lvl w:ilvl="6" w:tplc="0B308880" w:tentative="1">
      <w:start w:val="1"/>
      <w:numFmt w:val="bullet"/>
      <w:lvlText w:val=""/>
      <w:lvlJc w:val="left"/>
      <w:pPr>
        <w:tabs>
          <w:tab w:val="num" w:pos="5040"/>
        </w:tabs>
        <w:ind w:left="5040" w:hanging="360"/>
      </w:pPr>
      <w:rPr>
        <w:rFonts w:ascii="Symbol" w:hAnsi="Symbol" w:hint="default"/>
      </w:rPr>
    </w:lvl>
    <w:lvl w:ilvl="7" w:tplc="00B8F246" w:tentative="1">
      <w:start w:val="1"/>
      <w:numFmt w:val="bullet"/>
      <w:lvlText w:val="o"/>
      <w:lvlJc w:val="left"/>
      <w:pPr>
        <w:tabs>
          <w:tab w:val="num" w:pos="5760"/>
        </w:tabs>
        <w:ind w:left="5760" w:hanging="360"/>
      </w:pPr>
      <w:rPr>
        <w:rFonts w:ascii="Courier New" w:hAnsi="Courier New" w:cs="Courier New" w:hint="default"/>
      </w:rPr>
    </w:lvl>
    <w:lvl w:ilvl="8" w:tplc="F912E6D4" w:tentative="1">
      <w:start w:val="1"/>
      <w:numFmt w:val="bullet"/>
      <w:lvlText w:val=""/>
      <w:lvlJc w:val="left"/>
      <w:pPr>
        <w:tabs>
          <w:tab w:val="num" w:pos="6480"/>
        </w:tabs>
        <w:ind w:left="6480" w:hanging="360"/>
      </w:pPr>
      <w:rPr>
        <w:rFonts w:ascii="Wingdings" w:hAnsi="Wingdings" w:hint="default"/>
      </w:rPr>
    </w:lvl>
  </w:abstractNum>
  <w:num w:numId="1" w16cid:durableId="959529039">
    <w:abstractNumId w:val="19"/>
  </w:num>
  <w:num w:numId="2" w16cid:durableId="438841975">
    <w:abstractNumId w:val="20"/>
  </w:num>
  <w:num w:numId="3" w16cid:durableId="389697041">
    <w:abstractNumId w:val="7"/>
  </w:num>
  <w:num w:numId="4" w16cid:durableId="473761406">
    <w:abstractNumId w:val="24"/>
  </w:num>
  <w:num w:numId="5" w16cid:durableId="2135320845">
    <w:abstractNumId w:val="23"/>
  </w:num>
  <w:num w:numId="6" w16cid:durableId="1758669768">
    <w:abstractNumId w:val="3"/>
  </w:num>
  <w:num w:numId="7" w16cid:durableId="354775413">
    <w:abstractNumId w:val="9"/>
  </w:num>
  <w:num w:numId="8" w16cid:durableId="2004241165">
    <w:abstractNumId w:val="8"/>
  </w:num>
  <w:num w:numId="9" w16cid:durableId="2060324551">
    <w:abstractNumId w:val="5"/>
  </w:num>
  <w:num w:numId="10" w16cid:durableId="229509882">
    <w:abstractNumId w:val="16"/>
  </w:num>
  <w:num w:numId="11" w16cid:durableId="704795665">
    <w:abstractNumId w:val="4"/>
  </w:num>
  <w:num w:numId="12" w16cid:durableId="523253024">
    <w:abstractNumId w:val="15"/>
  </w:num>
  <w:num w:numId="13" w16cid:durableId="1560827832">
    <w:abstractNumId w:val="17"/>
  </w:num>
  <w:num w:numId="14" w16cid:durableId="2081823862">
    <w:abstractNumId w:val="10"/>
  </w:num>
  <w:num w:numId="15" w16cid:durableId="1802262925">
    <w:abstractNumId w:val="14"/>
  </w:num>
  <w:num w:numId="16" w16cid:durableId="703791701">
    <w:abstractNumId w:val="12"/>
  </w:num>
  <w:num w:numId="17" w16cid:durableId="292710573">
    <w:abstractNumId w:val="13"/>
  </w:num>
  <w:num w:numId="18" w16cid:durableId="1703280956">
    <w:abstractNumId w:val="11"/>
  </w:num>
  <w:num w:numId="19" w16cid:durableId="575864865">
    <w:abstractNumId w:val="6"/>
  </w:num>
  <w:num w:numId="20" w16cid:durableId="270087749">
    <w:abstractNumId w:val="18"/>
  </w:num>
  <w:num w:numId="21" w16cid:durableId="1495993606">
    <w:abstractNumId w:val="1"/>
  </w:num>
  <w:num w:numId="22" w16cid:durableId="26024782">
    <w:abstractNumId w:val="2"/>
  </w:num>
  <w:num w:numId="23" w16cid:durableId="1105343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0905168">
    <w:abstractNumId w:val="21"/>
  </w:num>
  <w:num w:numId="25" w16cid:durableId="73736609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PartsVariable" w:val="&lt;docParts&gt;_x005f_x000d__x005f_x000a_  &lt;Precedent&gt;agreement&lt;/Precedent&gt;_x005f_x000d__x005f_x000a_  &lt;Operative&gt;paragraph&lt;/Operative&gt;_x005f_x000d__x005f_x000a_  &lt;TemplateType&gt;null&lt;/TemplateType&gt;_x005f_x000d__x005f_x000a_  &lt;SignaturePageBreakType&gt;No&lt;/SignaturePageBreakType&gt;_x005f_x000d__x005f_x000a_&lt;/docParts&gt;"/>
    <w:docVar w:name="gentXMLPartID" w:val="{F1632DD2-2DD4-4AA1-8D2A-8F04565A0E9B}"/>
  </w:docVars>
  <w:rsids>
    <w:rsidRoot w:val="00772DD5"/>
    <w:rsid w:val="000164DB"/>
    <w:rsid w:val="000170B5"/>
    <w:rsid w:val="00022F85"/>
    <w:rsid w:val="00035F5A"/>
    <w:rsid w:val="00052509"/>
    <w:rsid w:val="0005755F"/>
    <w:rsid w:val="000A04C3"/>
    <w:rsid w:val="000A4DDB"/>
    <w:rsid w:val="000C6A5F"/>
    <w:rsid w:val="000E25E3"/>
    <w:rsid w:val="000F10C4"/>
    <w:rsid w:val="000F1E78"/>
    <w:rsid w:val="000F720D"/>
    <w:rsid w:val="00105C3D"/>
    <w:rsid w:val="00174D9F"/>
    <w:rsid w:val="00183796"/>
    <w:rsid w:val="001B5085"/>
    <w:rsid w:val="001C665E"/>
    <w:rsid w:val="001C757D"/>
    <w:rsid w:val="00226B6E"/>
    <w:rsid w:val="00246401"/>
    <w:rsid w:val="00247B21"/>
    <w:rsid w:val="002625B3"/>
    <w:rsid w:val="00275975"/>
    <w:rsid w:val="00292A77"/>
    <w:rsid w:val="002B0233"/>
    <w:rsid w:val="002C7E7A"/>
    <w:rsid w:val="002F20F4"/>
    <w:rsid w:val="00366028"/>
    <w:rsid w:val="00367FC2"/>
    <w:rsid w:val="00381F64"/>
    <w:rsid w:val="003D3EF6"/>
    <w:rsid w:val="003D640D"/>
    <w:rsid w:val="003E6BA6"/>
    <w:rsid w:val="003F1444"/>
    <w:rsid w:val="00447FA9"/>
    <w:rsid w:val="00450281"/>
    <w:rsid w:val="004756F5"/>
    <w:rsid w:val="004A53F9"/>
    <w:rsid w:val="004D20E6"/>
    <w:rsid w:val="004D6D62"/>
    <w:rsid w:val="004F2A6B"/>
    <w:rsid w:val="00537D51"/>
    <w:rsid w:val="00544249"/>
    <w:rsid w:val="005C06D6"/>
    <w:rsid w:val="005C27E5"/>
    <w:rsid w:val="005E21CF"/>
    <w:rsid w:val="005E4F64"/>
    <w:rsid w:val="006440FB"/>
    <w:rsid w:val="006614CA"/>
    <w:rsid w:val="006D7459"/>
    <w:rsid w:val="006E6DA7"/>
    <w:rsid w:val="007331B0"/>
    <w:rsid w:val="00772DD5"/>
    <w:rsid w:val="007A3E0E"/>
    <w:rsid w:val="007B4910"/>
    <w:rsid w:val="007F40B1"/>
    <w:rsid w:val="008076A0"/>
    <w:rsid w:val="00816BEE"/>
    <w:rsid w:val="00863713"/>
    <w:rsid w:val="008D2831"/>
    <w:rsid w:val="00923D24"/>
    <w:rsid w:val="0093031F"/>
    <w:rsid w:val="00937E7C"/>
    <w:rsid w:val="00972F9B"/>
    <w:rsid w:val="00A54DF1"/>
    <w:rsid w:val="00A66F35"/>
    <w:rsid w:val="00AE2033"/>
    <w:rsid w:val="00AF3BBD"/>
    <w:rsid w:val="00B9248F"/>
    <w:rsid w:val="00B95918"/>
    <w:rsid w:val="00BB622E"/>
    <w:rsid w:val="00BC0EFB"/>
    <w:rsid w:val="00BE7CDC"/>
    <w:rsid w:val="00C12F1C"/>
    <w:rsid w:val="00C42FCF"/>
    <w:rsid w:val="00C5116C"/>
    <w:rsid w:val="00C6510E"/>
    <w:rsid w:val="00C77682"/>
    <w:rsid w:val="00C868FB"/>
    <w:rsid w:val="00CB1131"/>
    <w:rsid w:val="00D86F12"/>
    <w:rsid w:val="00DA4160"/>
    <w:rsid w:val="00E5122B"/>
    <w:rsid w:val="00E6383F"/>
    <w:rsid w:val="00EA6175"/>
    <w:rsid w:val="00EC50DA"/>
    <w:rsid w:val="00EE60A6"/>
    <w:rsid w:val="00F05911"/>
    <w:rsid w:val="00F240F0"/>
    <w:rsid w:val="00F452DD"/>
    <w:rsid w:val="00F54031"/>
    <w:rsid w:val="00F5461B"/>
    <w:rsid w:val="00F731DD"/>
    <w:rsid w:val="00F80898"/>
    <w:rsid w:val="00F82367"/>
    <w:rsid w:val="00F975E5"/>
    <w:rsid w:val="00FE38A5"/>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1B56F33"/>
  <w15:chartTrackingRefBased/>
  <w15:docId w15:val="{C9D58396-D802-4766-B9AE-5E432740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iPriority="0"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6DD"/>
    <w:pPr>
      <w:spacing w:after="200" w:line="240" w:lineRule="atLeast"/>
    </w:pPr>
    <w:rPr>
      <w:rFonts w:ascii="Arial" w:eastAsia="Arial" w:hAnsi="Arial" w:cs="Arial"/>
      <w:color w:val="000000"/>
      <w:sz w:val="22"/>
      <w:szCs w:val="22"/>
    </w:rPr>
  </w:style>
  <w:style w:type="paragraph" w:styleId="Heading1">
    <w:name w:val="heading 1"/>
    <w:basedOn w:val="Normal"/>
    <w:next w:val="Normal"/>
    <w:link w:val="Heading1Char"/>
    <w:uiPriority w:val="9"/>
    <w:qFormat/>
    <w:rsid w:val="00C876DD"/>
    <w:pPr>
      <w:keepNext/>
      <w:keepLines/>
      <w:numPr>
        <w:numId w:val="10"/>
      </w:numPr>
      <w:spacing w:before="480" w:after="0"/>
      <w:outlineLvl w:val="0"/>
    </w:pPr>
    <w:rPr>
      <w:rFonts w:ascii="Cambria" w:eastAsia="Times New Roman" w:hAnsi="Cambria" w:cs="Times New Roman"/>
      <w:b/>
      <w:bCs/>
      <w:sz w:val="28"/>
      <w:szCs w:val="28"/>
    </w:rPr>
  </w:style>
  <w:style w:type="paragraph" w:styleId="Heading2">
    <w:name w:val="heading 2"/>
    <w:basedOn w:val="Normal"/>
    <w:next w:val="Normal"/>
    <w:link w:val="Heading2Char"/>
    <w:uiPriority w:val="9"/>
    <w:qFormat/>
    <w:rsid w:val="00C876DD"/>
    <w:pPr>
      <w:keepNext/>
      <w:keepLines/>
      <w:numPr>
        <w:ilvl w:val="1"/>
        <w:numId w:val="10"/>
      </w:numPr>
      <w:spacing w:before="200" w:after="0"/>
      <w:outlineLvl w:val="1"/>
    </w:pPr>
    <w:rPr>
      <w:rFonts w:ascii="Cambria" w:eastAsia="Times New Roman" w:hAnsi="Cambria" w:cs="Times New Roman"/>
      <w:b/>
      <w:bCs/>
      <w:sz w:val="26"/>
      <w:szCs w:val="26"/>
    </w:rPr>
  </w:style>
  <w:style w:type="paragraph" w:styleId="Heading3">
    <w:name w:val="heading 3"/>
    <w:basedOn w:val="Normal"/>
    <w:next w:val="Normal"/>
    <w:link w:val="Heading3Char"/>
    <w:uiPriority w:val="9"/>
    <w:qFormat/>
    <w:rsid w:val="00C876DD"/>
    <w:pPr>
      <w:keepNext/>
      <w:keepLines/>
      <w:numPr>
        <w:ilvl w:val="2"/>
        <w:numId w:val="10"/>
      </w:numPr>
      <w:spacing w:before="200" w:after="0"/>
      <w:outlineLvl w:val="2"/>
    </w:pPr>
    <w:rPr>
      <w:rFonts w:ascii="Cambria" w:eastAsia="Times New Roman" w:hAnsi="Cambria" w:cs="Times New Roman"/>
      <w:b/>
      <w:bCs/>
    </w:rPr>
  </w:style>
  <w:style w:type="paragraph" w:styleId="Heading4">
    <w:name w:val="heading 4"/>
    <w:basedOn w:val="Normal"/>
    <w:next w:val="Normal"/>
    <w:link w:val="Heading4Char"/>
    <w:uiPriority w:val="9"/>
    <w:qFormat/>
    <w:rsid w:val="00C876DD"/>
    <w:pPr>
      <w:keepNext/>
      <w:keepLines/>
      <w:numPr>
        <w:ilvl w:val="3"/>
        <w:numId w:val="10"/>
      </w:numPr>
      <w:spacing w:before="200" w:after="0"/>
      <w:outlineLvl w:val="3"/>
    </w:pPr>
    <w:rPr>
      <w:rFonts w:ascii="Cambria" w:eastAsia="Times New Roman" w:hAnsi="Cambria" w:cs="Times New Roman"/>
      <w:b/>
      <w:bCs/>
      <w:i/>
      <w:iCs/>
    </w:rPr>
  </w:style>
  <w:style w:type="paragraph" w:styleId="Heading5">
    <w:name w:val="heading 5"/>
    <w:basedOn w:val="Normal"/>
    <w:next w:val="Normal"/>
    <w:link w:val="Heading5Char"/>
    <w:uiPriority w:val="9"/>
    <w:qFormat/>
    <w:rsid w:val="00C876DD"/>
    <w:pPr>
      <w:keepNext/>
      <w:keepLines/>
      <w:numPr>
        <w:ilvl w:val="4"/>
        <w:numId w:val="10"/>
      </w:numPr>
      <w:spacing w:before="200" w:after="0"/>
      <w:outlineLvl w:val="4"/>
    </w:pPr>
    <w:rPr>
      <w:rFonts w:ascii="Cambria" w:eastAsia="Times New Roman" w:hAnsi="Cambria" w:cs="Times New Roman"/>
    </w:rPr>
  </w:style>
  <w:style w:type="paragraph" w:styleId="Heading6">
    <w:name w:val="heading 6"/>
    <w:basedOn w:val="Normal"/>
    <w:next w:val="Normal"/>
    <w:link w:val="Heading6Char"/>
    <w:uiPriority w:val="9"/>
    <w:qFormat/>
    <w:rsid w:val="00C876DD"/>
    <w:pPr>
      <w:keepNext/>
      <w:keepLines/>
      <w:numPr>
        <w:ilvl w:val="5"/>
        <w:numId w:val="10"/>
      </w:numPr>
      <w:spacing w:before="200" w:after="0"/>
      <w:outlineLvl w:val="5"/>
    </w:pPr>
    <w:rPr>
      <w:rFonts w:ascii="Cambria" w:eastAsia="Times New Roman" w:hAnsi="Cambria" w:cs="Times New Roman"/>
      <w:i/>
      <w:iCs/>
    </w:rPr>
  </w:style>
  <w:style w:type="paragraph" w:styleId="Heading7">
    <w:name w:val="heading 7"/>
    <w:basedOn w:val="Normal"/>
    <w:next w:val="Normal"/>
    <w:link w:val="Heading7Char"/>
    <w:uiPriority w:val="9"/>
    <w:qFormat/>
    <w:rsid w:val="00C876DD"/>
    <w:pPr>
      <w:keepNext/>
      <w:keepLines/>
      <w:numPr>
        <w:ilvl w:val="6"/>
        <w:numId w:val="10"/>
      </w:numPr>
      <w:spacing w:before="200" w:after="0"/>
      <w:outlineLvl w:val="6"/>
    </w:pPr>
    <w:rPr>
      <w:rFonts w:ascii="Cambria" w:eastAsia="Times New Roman" w:hAnsi="Cambria" w:cs="Times New Roman"/>
      <w:i/>
      <w:iCs/>
    </w:rPr>
  </w:style>
  <w:style w:type="paragraph" w:styleId="Heading8">
    <w:name w:val="heading 8"/>
    <w:basedOn w:val="Normal"/>
    <w:next w:val="Normal"/>
    <w:link w:val="Heading8Char"/>
    <w:uiPriority w:val="9"/>
    <w:qFormat/>
    <w:rsid w:val="00C876DD"/>
    <w:pPr>
      <w:keepNext/>
      <w:keepLines/>
      <w:numPr>
        <w:ilvl w:val="7"/>
        <w:numId w:val="10"/>
      </w:numPr>
      <w:spacing w:before="200" w:after="0"/>
      <w:outlineLvl w:val="7"/>
    </w:pPr>
    <w:rPr>
      <w:rFonts w:ascii="Cambria" w:eastAsia="Times New Roman" w:hAnsi="Cambria" w:cs="Times New Roman"/>
      <w:sz w:val="20"/>
      <w:szCs w:val="20"/>
    </w:rPr>
  </w:style>
  <w:style w:type="paragraph" w:styleId="Heading9">
    <w:name w:val="heading 9"/>
    <w:basedOn w:val="Normal"/>
    <w:next w:val="Normal"/>
    <w:link w:val="Heading9Char"/>
    <w:uiPriority w:val="9"/>
    <w:qFormat/>
    <w:rsid w:val="00C876DD"/>
    <w:pPr>
      <w:keepNext/>
      <w:keepLines/>
      <w:numPr>
        <w:ilvl w:val="8"/>
        <w:numId w:val="10"/>
      </w:numPr>
      <w:spacing w:before="200" w:after="0"/>
      <w:outlineLvl w:val="8"/>
    </w:pPr>
    <w:rPr>
      <w:rFonts w:ascii="Cambria" w:eastAsia="Times New Roman" w:hAnsi="Cambria" w:cs="Times New Roman"/>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76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876DD"/>
    <w:rPr>
      <w:rFonts w:ascii="Tahoma" w:eastAsia="Arial" w:hAnsi="Tahoma" w:cs="Tahoma"/>
      <w:color w:val="000000"/>
      <w:sz w:val="16"/>
      <w:szCs w:val="16"/>
    </w:rPr>
  </w:style>
  <w:style w:type="paragraph" w:styleId="Header">
    <w:name w:val="header"/>
    <w:basedOn w:val="Normal"/>
    <w:link w:val="HeaderChar"/>
    <w:uiPriority w:val="99"/>
    <w:unhideWhenUsed/>
    <w:rsid w:val="00C876DD"/>
    <w:pPr>
      <w:tabs>
        <w:tab w:val="center" w:pos="4513"/>
        <w:tab w:val="right" w:pos="9026"/>
      </w:tabs>
      <w:spacing w:after="0" w:line="240" w:lineRule="auto"/>
    </w:pPr>
  </w:style>
  <w:style w:type="character" w:customStyle="1" w:styleId="HeaderChar">
    <w:name w:val="Header Char"/>
    <w:link w:val="Header"/>
    <w:uiPriority w:val="99"/>
    <w:rsid w:val="00C876DD"/>
    <w:rPr>
      <w:rFonts w:ascii="Arial" w:eastAsia="Arial" w:hAnsi="Arial" w:cs="Arial"/>
      <w:color w:val="000000"/>
    </w:rPr>
  </w:style>
  <w:style w:type="paragraph" w:styleId="Footer">
    <w:name w:val="footer"/>
    <w:basedOn w:val="Normal"/>
    <w:link w:val="FooterChar"/>
    <w:rsid w:val="00C876DD"/>
    <w:pPr>
      <w:tabs>
        <w:tab w:val="center" w:pos="4153"/>
        <w:tab w:val="right" w:pos="8306"/>
      </w:tabs>
      <w:spacing w:after="240" w:line="300" w:lineRule="atLeast"/>
      <w:jc w:val="both"/>
    </w:pPr>
    <w:rPr>
      <w:rFonts w:ascii="Times New Roman" w:eastAsia="Times New Roman" w:hAnsi="Times New Roman" w:cs="Times New Roman"/>
      <w:szCs w:val="20"/>
      <w:lang w:eastAsia="en-US"/>
    </w:rPr>
  </w:style>
  <w:style w:type="character" w:customStyle="1" w:styleId="FooterChar">
    <w:name w:val="Footer Char"/>
    <w:link w:val="Footer"/>
    <w:rsid w:val="00C876DD"/>
    <w:rPr>
      <w:rFonts w:ascii="Times New Roman" w:eastAsia="Times New Roman" w:hAnsi="Times New Roman" w:cs="Times New Roman"/>
      <w:color w:val="000000"/>
      <w:szCs w:val="20"/>
      <w:lang w:eastAsia="en-US"/>
    </w:rPr>
  </w:style>
  <w:style w:type="character" w:customStyle="1" w:styleId="Heading1Char">
    <w:name w:val="Heading 1 Char"/>
    <w:link w:val="Heading1"/>
    <w:uiPriority w:val="9"/>
    <w:rsid w:val="00C876DD"/>
    <w:rPr>
      <w:rFonts w:ascii="Cambria" w:hAnsi="Cambria"/>
      <w:b/>
      <w:bCs/>
      <w:color w:val="000000"/>
      <w:sz w:val="28"/>
      <w:szCs w:val="28"/>
    </w:rPr>
  </w:style>
  <w:style w:type="character" w:customStyle="1" w:styleId="Heading2Char">
    <w:name w:val="Heading 2 Char"/>
    <w:link w:val="Heading2"/>
    <w:uiPriority w:val="9"/>
    <w:rsid w:val="00C876DD"/>
    <w:rPr>
      <w:rFonts w:ascii="Cambria" w:hAnsi="Cambria"/>
      <w:b/>
      <w:bCs/>
      <w:color w:val="000000"/>
      <w:sz w:val="26"/>
      <w:szCs w:val="26"/>
    </w:rPr>
  </w:style>
  <w:style w:type="character" w:customStyle="1" w:styleId="Heading3Char">
    <w:name w:val="Heading 3 Char"/>
    <w:link w:val="Heading3"/>
    <w:uiPriority w:val="9"/>
    <w:rsid w:val="00C876DD"/>
    <w:rPr>
      <w:rFonts w:ascii="Cambria" w:hAnsi="Cambria"/>
      <w:b/>
      <w:bCs/>
      <w:color w:val="000000"/>
      <w:sz w:val="22"/>
      <w:szCs w:val="22"/>
    </w:rPr>
  </w:style>
  <w:style w:type="character" w:customStyle="1" w:styleId="Heading4Char">
    <w:name w:val="Heading 4 Char"/>
    <w:link w:val="Heading4"/>
    <w:uiPriority w:val="9"/>
    <w:rsid w:val="00C876DD"/>
    <w:rPr>
      <w:rFonts w:ascii="Cambria" w:hAnsi="Cambria"/>
      <w:b/>
      <w:bCs/>
      <w:i/>
      <w:iCs/>
      <w:color w:val="000000"/>
      <w:sz w:val="22"/>
      <w:szCs w:val="22"/>
    </w:rPr>
  </w:style>
  <w:style w:type="character" w:customStyle="1" w:styleId="Heading5Char">
    <w:name w:val="Heading 5 Char"/>
    <w:link w:val="Heading5"/>
    <w:uiPriority w:val="9"/>
    <w:rsid w:val="00C876DD"/>
    <w:rPr>
      <w:rFonts w:ascii="Cambria" w:hAnsi="Cambria"/>
      <w:color w:val="000000"/>
      <w:sz w:val="22"/>
      <w:szCs w:val="22"/>
    </w:rPr>
  </w:style>
  <w:style w:type="character" w:customStyle="1" w:styleId="Heading6Char">
    <w:name w:val="Heading 6 Char"/>
    <w:link w:val="Heading6"/>
    <w:uiPriority w:val="9"/>
    <w:rsid w:val="00C876DD"/>
    <w:rPr>
      <w:rFonts w:ascii="Cambria" w:hAnsi="Cambria"/>
      <w:i/>
      <w:iCs/>
      <w:color w:val="000000"/>
      <w:sz w:val="22"/>
      <w:szCs w:val="22"/>
    </w:rPr>
  </w:style>
  <w:style w:type="character" w:customStyle="1" w:styleId="Heading7Char">
    <w:name w:val="Heading 7 Char"/>
    <w:link w:val="Heading7"/>
    <w:uiPriority w:val="9"/>
    <w:rsid w:val="00C876DD"/>
    <w:rPr>
      <w:rFonts w:ascii="Cambria" w:hAnsi="Cambria"/>
      <w:i/>
      <w:iCs/>
      <w:color w:val="000000"/>
      <w:sz w:val="22"/>
      <w:szCs w:val="22"/>
    </w:rPr>
  </w:style>
  <w:style w:type="character" w:customStyle="1" w:styleId="Heading8Char">
    <w:name w:val="Heading 8 Char"/>
    <w:link w:val="Heading8"/>
    <w:uiPriority w:val="9"/>
    <w:rsid w:val="00C876DD"/>
    <w:rPr>
      <w:rFonts w:ascii="Cambria" w:hAnsi="Cambria"/>
      <w:color w:val="000000"/>
    </w:rPr>
  </w:style>
  <w:style w:type="character" w:customStyle="1" w:styleId="Heading9Char">
    <w:name w:val="Heading 9 Char"/>
    <w:link w:val="Heading9"/>
    <w:uiPriority w:val="9"/>
    <w:rsid w:val="00C876DD"/>
    <w:rPr>
      <w:rFonts w:ascii="Cambria" w:hAnsi="Cambria"/>
      <w:i/>
      <w:iCs/>
      <w:color w:val="000000"/>
    </w:rPr>
  </w:style>
  <w:style w:type="character" w:styleId="PlaceholderText">
    <w:name w:val="Placeholder Text"/>
    <w:uiPriority w:val="99"/>
    <w:rsid w:val="00C876DD"/>
    <w:rPr>
      <w:rFonts w:ascii="Arial" w:eastAsia="Arial" w:hAnsi="Arial" w:cs="Arial"/>
      <w:color w:val="000000"/>
    </w:rPr>
  </w:style>
  <w:style w:type="paragraph" w:customStyle="1" w:styleId="Abstract">
    <w:name w:val="Abstract"/>
    <w:link w:val="AbstractChar"/>
    <w:rsid w:val="00C876DD"/>
    <w:pPr>
      <w:spacing w:after="120"/>
    </w:pPr>
    <w:rPr>
      <w:rFonts w:ascii="Arial" w:hAnsi="Arial"/>
      <w:color w:val="000000"/>
      <w:sz w:val="24"/>
      <w:szCs w:val="24"/>
      <w:lang w:val="en-US" w:eastAsia="en-US"/>
    </w:rPr>
  </w:style>
  <w:style w:type="character" w:customStyle="1" w:styleId="AbstractChar">
    <w:name w:val="Abstract Char"/>
    <w:link w:val="Abstract"/>
    <w:rsid w:val="00C876DD"/>
    <w:rPr>
      <w:rFonts w:ascii="Arial" w:eastAsia="Times New Roman" w:hAnsi="Arial" w:cs="Times New Roman"/>
      <w:color w:val="000000"/>
      <w:sz w:val="24"/>
      <w:szCs w:val="24"/>
      <w:lang w:val="en-US" w:eastAsia="en-US"/>
    </w:rPr>
  </w:style>
  <w:style w:type="paragraph" w:customStyle="1" w:styleId="Annex">
    <w:name w:val="Annex"/>
    <w:basedOn w:val="Paragraph"/>
    <w:next w:val="Paragraph"/>
    <w:qFormat/>
    <w:rsid w:val="00C876DD"/>
    <w:pPr>
      <w:numPr>
        <w:numId w:val="11"/>
      </w:numPr>
      <w:spacing w:before="240" w:after="240"/>
    </w:pPr>
    <w:rPr>
      <w:b/>
    </w:rPr>
  </w:style>
  <w:style w:type="paragraph" w:customStyle="1" w:styleId="AuthoringGroup">
    <w:name w:val="Authoring Group"/>
    <w:link w:val="AuthoringGroupChar"/>
    <w:rsid w:val="00C876DD"/>
    <w:pPr>
      <w:spacing w:after="120"/>
    </w:pPr>
    <w:rPr>
      <w:rFonts w:ascii="Arial" w:hAnsi="Arial"/>
      <w:color w:val="000000"/>
      <w:sz w:val="24"/>
      <w:szCs w:val="22"/>
      <w:lang w:val="en-US" w:eastAsia="en-US"/>
    </w:rPr>
  </w:style>
  <w:style w:type="character" w:customStyle="1" w:styleId="AuthoringGroupChar">
    <w:name w:val="Authoring Group Char"/>
    <w:link w:val="AuthoringGroup"/>
    <w:rsid w:val="00C876DD"/>
    <w:rPr>
      <w:rFonts w:ascii="Arial" w:eastAsia="Times New Roman" w:hAnsi="Arial" w:cs="Times New Roman"/>
      <w:color w:val="000000"/>
      <w:sz w:val="24"/>
      <w:lang w:val="en-US" w:eastAsia="en-US"/>
    </w:rPr>
  </w:style>
  <w:style w:type="paragraph" w:customStyle="1" w:styleId="Background">
    <w:name w:val="Background"/>
    <w:aliases w:val="(A) Background"/>
    <w:basedOn w:val="Normal"/>
    <w:rsid w:val="00C876DD"/>
    <w:pPr>
      <w:numPr>
        <w:numId w:val="1"/>
      </w:numPr>
      <w:spacing w:before="120" w:after="120" w:line="300" w:lineRule="atLeast"/>
      <w:jc w:val="both"/>
    </w:pPr>
    <w:rPr>
      <w:rFonts w:eastAsia="Times New Roman" w:cs="Times New Roman"/>
      <w:szCs w:val="20"/>
      <w:lang w:eastAsia="en-US"/>
    </w:rPr>
  </w:style>
  <w:style w:type="paragraph" w:customStyle="1" w:styleId="BulletList1">
    <w:name w:val="Bullet List 1"/>
    <w:aliases w:val="Bullet1"/>
    <w:basedOn w:val="Normal"/>
    <w:rsid w:val="00C876DD"/>
    <w:pPr>
      <w:numPr>
        <w:numId w:val="2"/>
      </w:numPr>
      <w:spacing w:after="240" w:line="300" w:lineRule="atLeast"/>
      <w:jc w:val="both"/>
    </w:pPr>
    <w:rPr>
      <w:rFonts w:eastAsia="Times New Roman" w:cs="Times New Roman"/>
      <w:szCs w:val="20"/>
      <w:lang w:eastAsia="en-US"/>
    </w:rPr>
  </w:style>
  <w:style w:type="paragraph" w:customStyle="1" w:styleId="BulletList2">
    <w:name w:val="Bullet List 2"/>
    <w:aliases w:val="Bullet2"/>
    <w:basedOn w:val="Normal"/>
    <w:rsid w:val="00C876DD"/>
    <w:pPr>
      <w:numPr>
        <w:numId w:val="3"/>
      </w:numPr>
      <w:spacing w:after="120" w:line="240" w:lineRule="auto"/>
      <w:ind w:left="1080" w:hanging="720"/>
      <w:jc w:val="both"/>
    </w:pPr>
    <w:rPr>
      <w:rFonts w:eastAsia="Times New Roman" w:cs="Times New Roman"/>
      <w:szCs w:val="20"/>
      <w:lang w:eastAsia="en-US"/>
    </w:rPr>
  </w:style>
  <w:style w:type="paragraph" w:customStyle="1" w:styleId="BulletList3">
    <w:name w:val="Bullet List 3"/>
    <w:aliases w:val="Bullet3"/>
    <w:basedOn w:val="Normal"/>
    <w:rsid w:val="00C876DD"/>
    <w:pPr>
      <w:numPr>
        <w:numId w:val="4"/>
      </w:numPr>
      <w:spacing w:after="240" w:line="240" w:lineRule="auto"/>
      <w:jc w:val="both"/>
    </w:pPr>
    <w:rPr>
      <w:rFonts w:eastAsia="Times New Roman" w:cs="Times New Roman"/>
      <w:szCs w:val="20"/>
      <w:lang w:eastAsia="en-US"/>
    </w:rPr>
  </w:style>
  <w:style w:type="paragraph" w:customStyle="1" w:styleId="TitleClause">
    <w:name w:val="Title Clause"/>
    <w:basedOn w:val="Normal"/>
    <w:rsid w:val="00C876DD"/>
    <w:pPr>
      <w:keepNext/>
      <w:numPr>
        <w:numId w:val="23"/>
      </w:numPr>
      <w:spacing w:before="240" w:after="240" w:line="300" w:lineRule="atLeast"/>
      <w:jc w:val="both"/>
      <w:outlineLvl w:val="0"/>
    </w:pPr>
    <w:rPr>
      <w:rFonts w:eastAsia="Times New Roman" w:cs="Times New Roman"/>
      <w:b/>
      <w:kern w:val="28"/>
      <w:szCs w:val="20"/>
      <w:lang w:eastAsia="en-US"/>
    </w:rPr>
  </w:style>
  <w:style w:type="paragraph" w:customStyle="1" w:styleId="ScheduleTitleClause">
    <w:name w:val="Schedule Title Clause"/>
    <w:basedOn w:val="Normal"/>
    <w:rsid w:val="00C876DD"/>
    <w:pPr>
      <w:keepNext/>
      <w:numPr>
        <w:ilvl w:val="2"/>
        <w:numId w:val="22"/>
      </w:numPr>
      <w:spacing w:before="240" w:after="240" w:line="300" w:lineRule="atLeast"/>
      <w:jc w:val="both"/>
      <w:outlineLvl w:val="0"/>
    </w:pPr>
    <w:rPr>
      <w:rFonts w:eastAsia="Times New Roman" w:cs="Times New Roman"/>
      <w:b/>
      <w:kern w:val="28"/>
      <w:szCs w:val="20"/>
      <w:lang w:eastAsia="en-US"/>
    </w:rPr>
  </w:style>
  <w:style w:type="paragraph" w:customStyle="1" w:styleId="ClauseNoTitle">
    <w:name w:val="Clause No Title"/>
    <w:basedOn w:val="TitleClause"/>
    <w:rsid w:val="00C876DD"/>
    <w:rPr>
      <w:b w:val="0"/>
      <w:smallCaps/>
    </w:rPr>
  </w:style>
  <w:style w:type="paragraph" w:customStyle="1" w:styleId="ClosingPara">
    <w:name w:val="Closing Para"/>
    <w:basedOn w:val="Normal"/>
    <w:rsid w:val="00C876DD"/>
    <w:pPr>
      <w:spacing w:before="120" w:after="240" w:line="300" w:lineRule="atLeast"/>
      <w:jc w:val="both"/>
    </w:pPr>
    <w:rPr>
      <w:rFonts w:eastAsia="Times New Roman" w:hAnsi="Times New Roman" w:cs="Times New Roman"/>
      <w:szCs w:val="20"/>
      <w:lang w:eastAsia="en-US"/>
    </w:rPr>
  </w:style>
  <w:style w:type="paragraph" w:customStyle="1" w:styleId="ClosingSignOff">
    <w:name w:val="Closing SignOff"/>
    <w:basedOn w:val="Normal"/>
    <w:rsid w:val="00C876DD"/>
    <w:pPr>
      <w:spacing w:after="120" w:line="300" w:lineRule="atLeast"/>
      <w:jc w:val="both"/>
    </w:pPr>
    <w:rPr>
      <w:rFonts w:eastAsia="Times New Roman" w:hAnsi="Times New Roman" w:cs="Times New Roman"/>
      <w:szCs w:val="20"/>
      <w:lang w:eastAsia="en-US"/>
    </w:rPr>
  </w:style>
  <w:style w:type="paragraph" w:customStyle="1" w:styleId="CoversheetTitle">
    <w:name w:val="Coversheet Title"/>
    <w:basedOn w:val="Normal"/>
    <w:autoRedefine/>
    <w:rsid w:val="00C876DD"/>
    <w:pPr>
      <w:spacing w:before="480" w:after="480" w:line="300" w:lineRule="atLeast"/>
      <w:jc w:val="center"/>
    </w:pPr>
    <w:rPr>
      <w:rFonts w:eastAsia="Times New Roman" w:cs="Times New Roman"/>
      <w:b/>
      <w:smallCaps/>
      <w:sz w:val="28"/>
      <w:szCs w:val="20"/>
      <w:lang w:eastAsia="en-US"/>
    </w:rPr>
  </w:style>
  <w:style w:type="paragraph" w:customStyle="1" w:styleId="CoverSheetHeading">
    <w:name w:val="Cover Sheet Heading"/>
    <w:aliases w:val="Coversheet Title2"/>
    <w:basedOn w:val="CoversheetTitle"/>
    <w:rsid w:val="00C876DD"/>
  </w:style>
  <w:style w:type="paragraph" w:customStyle="1" w:styleId="CoverSheetSubjectText">
    <w:name w:val="Cover Sheet Subject Text"/>
    <w:basedOn w:val="Normal"/>
    <w:rsid w:val="00C876DD"/>
    <w:pPr>
      <w:spacing w:after="0" w:line="300" w:lineRule="atLeast"/>
      <w:jc w:val="center"/>
    </w:pPr>
    <w:rPr>
      <w:rFonts w:eastAsia="Times New Roman" w:cs="Times New Roman"/>
      <w:szCs w:val="20"/>
      <w:lang w:eastAsia="en-US"/>
    </w:rPr>
  </w:style>
  <w:style w:type="paragraph" w:customStyle="1" w:styleId="CoverSheetSubjectTitle">
    <w:name w:val="Cover Sheet Subject Title"/>
    <w:basedOn w:val="Normal"/>
    <w:rsid w:val="00C876DD"/>
    <w:pPr>
      <w:spacing w:after="0" w:line="300" w:lineRule="atLeast"/>
      <w:jc w:val="center"/>
    </w:pPr>
    <w:rPr>
      <w:rFonts w:eastAsia="Times New Roman" w:cs="Times New Roman"/>
      <w:szCs w:val="20"/>
      <w:lang w:eastAsia="en-US"/>
    </w:rPr>
  </w:style>
  <w:style w:type="paragraph" w:customStyle="1" w:styleId="DefinedTermPara">
    <w:name w:val="Defined Term Para"/>
    <w:basedOn w:val="Paragraph"/>
    <w:qFormat/>
    <w:rsid w:val="00C876DD"/>
    <w:pPr>
      <w:numPr>
        <w:numId w:val="24"/>
      </w:numPr>
    </w:pPr>
  </w:style>
  <w:style w:type="paragraph" w:customStyle="1" w:styleId="DescriptiveHeading">
    <w:name w:val="DescriptiveHeading"/>
    <w:next w:val="Paragraph"/>
    <w:link w:val="DescriptiveHeadingChar"/>
    <w:rsid w:val="00C876DD"/>
    <w:pPr>
      <w:spacing w:before="360" w:after="360"/>
      <w:outlineLvl w:val="0"/>
    </w:pPr>
    <w:rPr>
      <w:rFonts w:ascii="Arial" w:hAnsi="Arial"/>
      <w:b/>
      <w:color w:val="000000"/>
      <w:sz w:val="22"/>
      <w:szCs w:val="22"/>
      <w:lang w:val="en-US" w:eastAsia="en-US"/>
    </w:rPr>
  </w:style>
  <w:style w:type="character" w:customStyle="1" w:styleId="DescriptiveHeadingChar">
    <w:name w:val="DescriptiveHeading Char"/>
    <w:link w:val="DescriptiveHeading"/>
    <w:rsid w:val="00C876DD"/>
    <w:rPr>
      <w:rFonts w:ascii="Arial" w:eastAsia="Times New Roman" w:hAnsi="Arial" w:cs="Times New Roman"/>
      <w:b/>
      <w:color w:val="000000"/>
      <w:lang w:val="en-US" w:eastAsia="en-US"/>
    </w:rPr>
  </w:style>
  <w:style w:type="paragraph" w:customStyle="1" w:styleId="DraftingnoteSection1Para">
    <w:name w:val="Draftingnote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1Title">
    <w:name w:val="Draftingnote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DraftingnoteSection2Para">
    <w:name w:val="Draftingnote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2Title">
    <w:name w:val="Draftingnote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DraftingnoteSection3Para">
    <w:name w:val="Draftingnote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3Title">
    <w:name w:val="Draftingnote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Section4Para">
    <w:name w:val="Draftingnote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DraftingnoteSection4Title">
    <w:name w:val="Draftingnote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DraftingnoteTitle">
    <w:name w:val="Draftingnote Title"/>
    <w:basedOn w:val="Normal"/>
    <w:rsid w:val="00C876DD"/>
    <w:pPr>
      <w:spacing w:after="120" w:line="300" w:lineRule="atLeast"/>
      <w:jc w:val="both"/>
    </w:pPr>
    <w:rPr>
      <w:rFonts w:eastAsia="Times New Roman" w:cs="Times New Roman"/>
      <w:b/>
      <w:sz w:val="28"/>
      <w:szCs w:val="20"/>
      <w:lang w:eastAsia="en-US"/>
    </w:rPr>
  </w:style>
  <w:style w:type="paragraph" w:customStyle="1" w:styleId="FulltextBridgehead">
    <w:name w:val="Fulltext Bridgehead"/>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FulltextSection1Para">
    <w:name w:val="Fulltext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1Title">
    <w:name w:val="Fulltext Section1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FulltextSection2Para">
    <w:name w:val="Fulltext Section2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2Title">
    <w:name w:val="Fulltext Section2 Title"/>
    <w:basedOn w:val="Normal"/>
    <w:rsid w:val="00C876DD"/>
    <w:pPr>
      <w:spacing w:after="120" w:line="300" w:lineRule="atLeast"/>
      <w:jc w:val="both"/>
    </w:pPr>
    <w:rPr>
      <w:rFonts w:eastAsia="Times New Roman" w:hAnsi="Times New Roman" w:cs="Times New Roman"/>
      <w:b/>
      <w:sz w:val="28"/>
      <w:szCs w:val="20"/>
      <w:lang w:eastAsia="en-US"/>
    </w:rPr>
  </w:style>
  <w:style w:type="paragraph" w:customStyle="1" w:styleId="FulltextSection3Para">
    <w:name w:val="Fulltext Section3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3Title">
    <w:name w:val="Fulltext Section3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FulltextSection4Para">
    <w:name w:val="Fulltext Section4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FulltextSection4Title">
    <w:name w:val="Fulltext Section4 Title"/>
    <w:basedOn w:val="Normal"/>
    <w:rsid w:val="00C876DD"/>
    <w:pPr>
      <w:spacing w:after="120" w:line="300" w:lineRule="atLeast"/>
      <w:jc w:val="both"/>
    </w:pPr>
    <w:rPr>
      <w:rFonts w:eastAsia="Times New Roman" w:hAnsi="Times New Roman" w:cs="Times New Roman"/>
      <w:b/>
      <w:i/>
      <w:sz w:val="28"/>
      <w:szCs w:val="20"/>
      <w:lang w:eastAsia="en-US"/>
    </w:rPr>
  </w:style>
  <w:style w:type="paragraph" w:customStyle="1" w:styleId="GlossItemGlossdefPara">
    <w:name w:val="GlossItem Glossdef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GlossItemGlossterm">
    <w:name w:val="GlossItem Glossterm"/>
    <w:basedOn w:val="Normal"/>
    <w:rsid w:val="00C876DD"/>
    <w:pPr>
      <w:spacing w:after="120" w:line="300" w:lineRule="atLeast"/>
      <w:jc w:val="both"/>
    </w:pPr>
    <w:rPr>
      <w:rFonts w:eastAsia="Times New Roman" w:hAnsi="Times New Roman" w:cs="Times New Roman"/>
      <w:b/>
      <w:sz w:val="48"/>
      <w:szCs w:val="20"/>
      <w:lang w:eastAsia="en-US"/>
    </w:rPr>
  </w:style>
  <w:style w:type="paragraph" w:customStyle="1" w:styleId="HeadingAddressLine">
    <w:name w:val="Heading Address Lin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Date">
    <w:name w:val="Heading Da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LetterheadBasedOnAttribute">
    <w:name w:val="Heading Letterhead Based On Attribute"/>
    <w:basedOn w:val="Normal"/>
    <w:rsid w:val="00C876DD"/>
    <w:pPr>
      <w:spacing w:after="120" w:line="300" w:lineRule="atLeast"/>
      <w:jc w:val="both"/>
    </w:pPr>
    <w:rPr>
      <w:rFonts w:eastAsia="Times New Roman" w:hAnsi="Times New Roman" w:cs="Times New Roman"/>
      <w:szCs w:val="20"/>
      <w:lang w:eastAsia="en-US"/>
    </w:rPr>
  </w:style>
  <w:style w:type="paragraph" w:customStyle="1" w:styleId="HeadingSalutation">
    <w:name w:val="Heading Saluta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IgnoredSpacing">
    <w:name w:val="Ignored Spacing"/>
    <w:link w:val="IgnoredSpacingChar"/>
    <w:rsid w:val="00C876DD"/>
    <w:pPr>
      <w:spacing w:after="120"/>
    </w:pPr>
    <w:rPr>
      <w:rFonts w:ascii="Arial" w:hAnsi="Arial"/>
      <w:color w:val="000000"/>
      <w:sz w:val="24"/>
      <w:szCs w:val="24"/>
      <w:lang w:val="en-US" w:eastAsia="en-US"/>
    </w:rPr>
  </w:style>
  <w:style w:type="character" w:customStyle="1" w:styleId="IgnoredSpacingChar">
    <w:name w:val="Ignored Spacing Char"/>
    <w:link w:val="IgnoredSpacing"/>
    <w:rsid w:val="00C876DD"/>
    <w:rPr>
      <w:rFonts w:ascii="Arial" w:eastAsia="Times New Roman" w:hAnsi="Arial" w:cs="Times New Roman"/>
      <w:color w:val="000000"/>
      <w:sz w:val="24"/>
      <w:szCs w:val="24"/>
      <w:lang w:val="en-US" w:eastAsia="en-US"/>
    </w:rPr>
  </w:style>
  <w:style w:type="paragraph" w:customStyle="1" w:styleId="InternalAuthor">
    <w:name w:val="Internal Author"/>
    <w:link w:val="InternalAuthorChar"/>
    <w:rsid w:val="00C876DD"/>
    <w:pPr>
      <w:spacing w:after="120"/>
    </w:pPr>
    <w:rPr>
      <w:rFonts w:ascii="Arial" w:hAnsi="Arial"/>
      <w:color w:val="000000"/>
      <w:sz w:val="24"/>
      <w:szCs w:val="22"/>
      <w:lang w:val="en-US" w:eastAsia="en-US"/>
    </w:rPr>
  </w:style>
  <w:style w:type="character" w:customStyle="1" w:styleId="InternalAuthorChar">
    <w:name w:val="Internal Author Char"/>
    <w:link w:val="InternalAuthor"/>
    <w:rsid w:val="00C876DD"/>
    <w:rPr>
      <w:rFonts w:ascii="Arial" w:eastAsia="Times New Roman" w:hAnsi="Arial" w:cs="Times New Roman"/>
      <w:color w:val="000000"/>
      <w:sz w:val="24"/>
      <w:lang w:val="en-US" w:eastAsia="en-US"/>
    </w:rPr>
  </w:style>
  <w:style w:type="paragraph" w:customStyle="1" w:styleId="MaintenanceEditor">
    <w:name w:val="Maintenance Editor"/>
    <w:link w:val="MaintenanceEditorChar"/>
    <w:rsid w:val="00C876DD"/>
    <w:pPr>
      <w:spacing w:after="120"/>
    </w:pPr>
    <w:rPr>
      <w:rFonts w:ascii="Arial" w:hAnsi="Arial"/>
      <w:color w:val="000000"/>
      <w:sz w:val="24"/>
      <w:szCs w:val="22"/>
      <w:lang w:val="en-US" w:eastAsia="en-US"/>
    </w:rPr>
  </w:style>
  <w:style w:type="character" w:customStyle="1" w:styleId="MaintenanceEditorChar">
    <w:name w:val="Maintenance Editor Char"/>
    <w:link w:val="MaintenanceEditor"/>
    <w:rsid w:val="00C876DD"/>
    <w:rPr>
      <w:rFonts w:ascii="Arial" w:eastAsia="Times New Roman" w:hAnsi="Arial" w:cs="Times New Roman"/>
      <w:color w:val="000000"/>
      <w:sz w:val="24"/>
      <w:lang w:val="en-US" w:eastAsia="en-US"/>
    </w:rPr>
  </w:style>
  <w:style w:type="paragraph" w:customStyle="1" w:styleId="ParaClause">
    <w:name w:val="Para Clause"/>
    <w:basedOn w:val="Normal"/>
    <w:rsid w:val="00C876DD"/>
    <w:pPr>
      <w:spacing w:before="120" w:after="120" w:line="300" w:lineRule="atLeast"/>
      <w:ind w:left="720"/>
      <w:jc w:val="both"/>
    </w:pPr>
    <w:rPr>
      <w:rFonts w:eastAsia="Times New Roman" w:cs="Times New Roman"/>
      <w:szCs w:val="20"/>
      <w:lang w:eastAsia="en-US"/>
    </w:rPr>
  </w:style>
  <w:style w:type="paragraph" w:customStyle="1" w:styleId="Parasubclause1">
    <w:name w:val="Para subclause 1"/>
    <w:basedOn w:val="Normal"/>
    <w:rsid w:val="00C876DD"/>
    <w:pPr>
      <w:spacing w:before="240" w:after="120" w:line="300" w:lineRule="atLeast"/>
      <w:ind w:left="720"/>
      <w:jc w:val="both"/>
    </w:pPr>
    <w:rPr>
      <w:rFonts w:eastAsia="Times New Roman" w:cs="Times New Roman"/>
      <w:szCs w:val="20"/>
      <w:lang w:eastAsia="en-US"/>
    </w:rPr>
  </w:style>
  <w:style w:type="paragraph" w:customStyle="1" w:styleId="Untitledsubclause1">
    <w:name w:val="Untitled subclause 1"/>
    <w:basedOn w:val="Normal"/>
    <w:rsid w:val="00C876DD"/>
    <w:pPr>
      <w:numPr>
        <w:ilvl w:val="1"/>
        <w:numId w:val="23"/>
      </w:numPr>
      <w:spacing w:before="280" w:after="120" w:line="300" w:lineRule="atLeast"/>
      <w:jc w:val="both"/>
      <w:outlineLvl w:val="1"/>
    </w:pPr>
    <w:rPr>
      <w:rFonts w:eastAsia="Times New Roman" w:cs="Times New Roman"/>
      <w:szCs w:val="20"/>
      <w:lang w:eastAsia="en-US"/>
    </w:rPr>
  </w:style>
  <w:style w:type="paragraph" w:customStyle="1" w:styleId="ScheduleUntitledsubclause1">
    <w:name w:val="Schedule Untitled subclause 1"/>
    <w:basedOn w:val="Normal"/>
    <w:rsid w:val="00C876DD"/>
    <w:pPr>
      <w:numPr>
        <w:ilvl w:val="3"/>
        <w:numId w:val="22"/>
      </w:numPr>
      <w:spacing w:before="280" w:after="120" w:line="300" w:lineRule="atLeast"/>
      <w:jc w:val="both"/>
      <w:outlineLvl w:val="1"/>
    </w:pPr>
    <w:rPr>
      <w:rFonts w:eastAsia="Times New Roman" w:cs="Times New Roman"/>
      <w:szCs w:val="20"/>
      <w:lang w:eastAsia="en-US"/>
    </w:rPr>
  </w:style>
  <w:style w:type="paragraph" w:customStyle="1" w:styleId="Parasubclause2">
    <w:name w:val="Para subclause 2"/>
    <w:basedOn w:val="Normal"/>
    <w:rsid w:val="00C876DD"/>
    <w:pPr>
      <w:spacing w:after="240" w:line="300" w:lineRule="atLeast"/>
      <w:ind w:left="1559"/>
      <w:jc w:val="both"/>
    </w:pPr>
    <w:rPr>
      <w:rFonts w:eastAsia="Times New Roman" w:cs="Times New Roman"/>
      <w:szCs w:val="20"/>
      <w:lang w:eastAsia="en-US"/>
    </w:rPr>
  </w:style>
  <w:style w:type="paragraph" w:customStyle="1" w:styleId="Untitledsubclause2">
    <w:name w:val="Untitled subclause 2"/>
    <w:basedOn w:val="Normal"/>
    <w:rsid w:val="00C876DD"/>
    <w:pPr>
      <w:numPr>
        <w:ilvl w:val="2"/>
        <w:numId w:val="23"/>
      </w:numPr>
      <w:spacing w:after="120" w:line="300" w:lineRule="atLeast"/>
      <w:jc w:val="both"/>
      <w:outlineLvl w:val="2"/>
    </w:pPr>
    <w:rPr>
      <w:rFonts w:eastAsia="Times New Roman" w:cs="Times New Roman"/>
      <w:szCs w:val="20"/>
      <w:lang w:eastAsia="en-US"/>
    </w:rPr>
  </w:style>
  <w:style w:type="paragraph" w:customStyle="1" w:styleId="ScheduleUntitledsubclause2">
    <w:name w:val="Schedule Untitled subclause 2"/>
    <w:basedOn w:val="Normal"/>
    <w:rsid w:val="00C876DD"/>
    <w:pPr>
      <w:numPr>
        <w:ilvl w:val="4"/>
        <w:numId w:val="22"/>
      </w:numPr>
      <w:spacing w:after="120" w:line="300" w:lineRule="atLeast"/>
      <w:jc w:val="both"/>
      <w:outlineLvl w:val="2"/>
    </w:pPr>
    <w:rPr>
      <w:rFonts w:eastAsia="Times New Roman" w:cs="Times New Roman"/>
      <w:szCs w:val="20"/>
      <w:lang w:eastAsia="en-US"/>
    </w:rPr>
  </w:style>
  <w:style w:type="paragraph" w:customStyle="1" w:styleId="Parasubclause3">
    <w:name w:val="Para subclause 3"/>
    <w:basedOn w:val="Normal"/>
    <w:next w:val="Untitledsubclause2"/>
    <w:rsid w:val="00C876DD"/>
    <w:pPr>
      <w:spacing w:after="120" w:line="300" w:lineRule="atLeast"/>
      <w:ind w:left="2268"/>
      <w:jc w:val="both"/>
    </w:pPr>
    <w:rPr>
      <w:rFonts w:eastAsia="Times New Roman" w:cs="Times New Roman"/>
      <w:szCs w:val="20"/>
      <w:lang w:eastAsia="en-US"/>
    </w:rPr>
  </w:style>
  <w:style w:type="paragraph" w:customStyle="1" w:styleId="Untitledsubclause3">
    <w:name w:val="Untitled subclause 3"/>
    <w:basedOn w:val="Normal"/>
    <w:rsid w:val="00C876DD"/>
    <w:pPr>
      <w:numPr>
        <w:ilvl w:val="3"/>
        <w:numId w:val="23"/>
      </w:numPr>
      <w:tabs>
        <w:tab w:val="left" w:pos="2261"/>
      </w:tabs>
      <w:spacing w:after="120" w:line="300" w:lineRule="atLeast"/>
      <w:jc w:val="both"/>
      <w:outlineLvl w:val="3"/>
    </w:pPr>
    <w:rPr>
      <w:rFonts w:eastAsia="Times New Roman" w:cs="Times New Roman"/>
      <w:szCs w:val="20"/>
      <w:lang w:eastAsia="en-US"/>
    </w:rPr>
  </w:style>
  <w:style w:type="paragraph" w:customStyle="1" w:styleId="ScheduleUntitledsubclause3">
    <w:name w:val="Schedule Untitled subclause 3"/>
    <w:basedOn w:val="Normal"/>
    <w:rsid w:val="00C876DD"/>
    <w:pPr>
      <w:numPr>
        <w:ilvl w:val="5"/>
        <w:numId w:val="22"/>
      </w:numPr>
      <w:tabs>
        <w:tab w:val="left" w:pos="2261"/>
      </w:tabs>
      <w:spacing w:after="120" w:line="300" w:lineRule="atLeast"/>
      <w:jc w:val="both"/>
      <w:outlineLvl w:val="3"/>
    </w:pPr>
    <w:rPr>
      <w:rFonts w:eastAsia="Times New Roman" w:cs="Times New Roman"/>
      <w:szCs w:val="20"/>
      <w:lang w:eastAsia="en-US"/>
    </w:rPr>
  </w:style>
  <w:style w:type="paragraph" w:customStyle="1" w:styleId="Parasubclause4">
    <w:name w:val="Para subclause 4"/>
    <w:basedOn w:val="Parasubclause3"/>
    <w:rsid w:val="00C876DD"/>
    <w:pPr>
      <w:spacing w:after="240"/>
      <w:ind w:left="3028"/>
    </w:pPr>
  </w:style>
  <w:style w:type="paragraph" w:customStyle="1" w:styleId="Untitledsubclause4">
    <w:name w:val="Untitled subclause 4"/>
    <w:basedOn w:val="Normal"/>
    <w:rsid w:val="00C876DD"/>
    <w:pPr>
      <w:numPr>
        <w:ilvl w:val="4"/>
        <w:numId w:val="23"/>
      </w:numPr>
      <w:spacing w:after="120" w:line="300" w:lineRule="atLeast"/>
      <w:jc w:val="both"/>
      <w:outlineLvl w:val="4"/>
    </w:pPr>
    <w:rPr>
      <w:rFonts w:eastAsia="Times New Roman" w:cs="Times New Roman"/>
      <w:szCs w:val="20"/>
      <w:lang w:eastAsia="en-US"/>
    </w:rPr>
  </w:style>
  <w:style w:type="paragraph" w:customStyle="1" w:styleId="ScheduleUntitledsubclause4">
    <w:name w:val="Schedule Untitled subclause 4"/>
    <w:basedOn w:val="Normal"/>
    <w:rsid w:val="00C876DD"/>
    <w:pPr>
      <w:spacing w:after="120" w:line="300" w:lineRule="atLeast"/>
      <w:jc w:val="both"/>
      <w:outlineLvl w:val="4"/>
    </w:pPr>
    <w:rPr>
      <w:rFonts w:eastAsia="Times New Roman" w:cs="Times New Roman"/>
      <w:szCs w:val="20"/>
      <w:lang w:eastAsia="en-US"/>
    </w:rPr>
  </w:style>
  <w:style w:type="paragraph" w:customStyle="1" w:styleId="Para">
    <w:name w:val="Para"/>
    <w:aliases w:val="PLC Style - Normal"/>
    <w:basedOn w:val="Normal"/>
    <w:rsid w:val="00C876DD"/>
    <w:pPr>
      <w:spacing w:after="120" w:line="300" w:lineRule="atLeast"/>
      <w:jc w:val="both"/>
    </w:pPr>
    <w:rPr>
      <w:rFonts w:eastAsia="Times New Roman" w:cs="Times New Roman"/>
      <w:szCs w:val="20"/>
      <w:lang w:eastAsia="en-US"/>
    </w:rPr>
  </w:style>
  <w:style w:type="paragraph" w:customStyle="1" w:styleId="Parties">
    <w:name w:val="Parties"/>
    <w:aliases w:val="(1) Parties"/>
    <w:basedOn w:val="Normal"/>
    <w:rsid w:val="00C876DD"/>
    <w:pPr>
      <w:numPr>
        <w:numId w:val="5"/>
      </w:numPr>
      <w:spacing w:before="120" w:after="120" w:line="300" w:lineRule="atLeast"/>
      <w:jc w:val="both"/>
    </w:pPr>
    <w:rPr>
      <w:rFonts w:eastAsia="Times New Roman" w:cs="Times New Roman"/>
      <w:szCs w:val="20"/>
      <w:lang w:eastAsia="en-US"/>
    </w:rPr>
  </w:style>
  <w:style w:type="paragraph" w:customStyle="1" w:styleId="ResourceHistoryAuthor">
    <w:name w:val="Resource History Author"/>
    <w:link w:val="ResourceHistoryAuthorChar"/>
    <w:rsid w:val="00C876DD"/>
    <w:pPr>
      <w:spacing w:after="120"/>
    </w:pPr>
    <w:rPr>
      <w:rFonts w:ascii="Arial" w:hAnsi="Arial"/>
      <w:color w:val="000000"/>
      <w:sz w:val="24"/>
      <w:szCs w:val="24"/>
      <w:lang w:val="en-US" w:eastAsia="en-US"/>
    </w:rPr>
  </w:style>
  <w:style w:type="character" w:customStyle="1" w:styleId="ResourceHistoryAuthorChar">
    <w:name w:val="Resource History Author Char"/>
    <w:link w:val="ResourceHistoryAuthor"/>
    <w:rsid w:val="00C876DD"/>
    <w:rPr>
      <w:rFonts w:ascii="Arial" w:eastAsia="Times New Roman" w:hAnsi="Arial" w:cs="Times New Roman"/>
      <w:color w:val="000000"/>
      <w:sz w:val="24"/>
      <w:szCs w:val="24"/>
      <w:lang w:val="en-US" w:eastAsia="en-US"/>
    </w:rPr>
  </w:style>
  <w:style w:type="paragraph" w:customStyle="1" w:styleId="ResourceHistoryDate">
    <w:name w:val="Resource History Date"/>
    <w:link w:val="ResourceHistoryDateChar"/>
    <w:rsid w:val="00C876DD"/>
    <w:pPr>
      <w:spacing w:after="120"/>
    </w:pPr>
    <w:rPr>
      <w:rFonts w:ascii="Arial" w:hAnsi="Arial"/>
      <w:color w:val="000000"/>
      <w:sz w:val="24"/>
      <w:szCs w:val="24"/>
      <w:lang w:val="en-US" w:eastAsia="en-US"/>
    </w:rPr>
  </w:style>
  <w:style w:type="character" w:customStyle="1" w:styleId="ResourceHistoryDateChar">
    <w:name w:val="Resource History Date Char"/>
    <w:link w:val="ResourceHistoryDate"/>
    <w:rsid w:val="00C876DD"/>
    <w:rPr>
      <w:rFonts w:ascii="Arial" w:eastAsia="Times New Roman" w:hAnsi="Arial" w:cs="Times New Roman"/>
      <w:color w:val="000000"/>
      <w:sz w:val="24"/>
      <w:szCs w:val="24"/>
      <w:lang w:val="en-US" w:eastAsia="en-US"/>
    </w:rPr>
  </w:style>
  <w:style w:type="paragraph" w:customStyle="1" w:styleId="ResourceHistoryDesc">
    <w:name w:val="Resource History Desc"/>
    <w:link w:val="ResourceHistoryDescChar"/>
    <w:rsid w:val="00C876DD"/>
    <w:pPr>
      <w:spacing w:after="120"/>
    </w:pPr>
    <w:rPr>
      <w:rFonts w:ascii="Verdana" w:hAnsi="Verdana"/>
      <w:color w:val="000000"/>
      <w:sz w:val="18"/>
      <w:szCs w:val="24"/>
      <w:lang w:val="en-US" w:eastAsia="en-US"/>
    </w:rPr>
  </w:style>
  <w:style w:type="character" w:customStyle="1" w:styleId="ResourceHistoryDescChar">
    <w:name w:val="Resource History Desc Char"/>
    <w:link w:val="ResourceHistoryDesc"/>
    <w:rsid w:val="00C876DD"/>
    <w:rPr>
      <w:rFonts w:ascii="Verdana" w:eastAsia="Times New Roman" w:hAnsi="Verdana" w:cs="Times New Roman"/>
      <w:color w:val="000000"/>
      <w:sz w:val="18"/>
      <w:szCs w:val="24"/>
      <w:lang w:val="en-US" w:eastAsia="en-US"/>
    </w:rPr>
  </w:style>
  <w:style w:type="paragraph" w:customStyle="1" w:styleId="ResourceHistoryTitle">
    <w:name w:val="Resource History Title"/>
    <w:link w:val="ResourceHistoryTitleChar"/>
    <w:rsid w:val="00C876DD"/>
    <w:pPr>
      <w:spacing w:after="120"/>
    </w:pPr>
    <w:rPr>
      <w:rFonts w:ascii="Arial" w:hAnsi="Arial"/>
      <w:b/>
      <w:bCs/>
      <w:color w:val="000000"/>
      <w:sz w:val="24"/>
      <w:szCs w:val="22"/>
      <w:lang w:val="en-US" w:eastAsia="en-US"/>
    </w:rPr>
  </w:style>
  <w:style w:type="character" w:customStyle="1" w:styleId="ResourceHistoryTitleChar">
    <w:name w:val="Resource History Title Char"/>
    <w:link w:val="ResourceHistoryTitle"/>
    <w:rsid w:val="00C876DD"/>
    <w:rPr>
      <w:rFonts w:ascii="Arial" w:eastAsia="Times New Roman" w:hAnsi="Arial" w:cs="Times New Roman"/>
      <w:b/>
      <w:bCs/>
      <w:color w:val="000000"/>
      <w:sz w:val="24"/>
      <w:lang w:val="en-US" w:eastAsia="en-US"/>
    </w:rPr>
  </w:style>
  <w:style w:type="paragraph" w:customStyle="1" w:styleId="ResourceType">
    <w:name w:val="Resource Type"/>
    <w:link w:val="ResourceTypeChar"/>
    <w:rsid w:val="00C876DD"/>
    <w:pPr>
      <w:spacing w:after="120"/>
    </w:pPr>
    <w:rPr>
      <w:rFonts w:ascii="Arial" w:hAnsi="Arial"/>
      <w:color w:val="000000"/>
      <w:sz w:val="24"/>
      <w:szCs w:val="24"/>
      <w:lang w:val="en-US" w:eastAsia="en-US"/>
    </w:rPr>
  </w:style>
  <w:style w:type="character" w:customStyle="1" w:styleId="ResourceTypeChar">
    <w:name w:val="Resource Type Char"/>
    <w:link w:val="ResourceType"/>
    <w:rsid w:val="00C876DD"/>
    <w:rPr>
      <w:rFonts w:ascii="Arial" w:eastAsia="Times New Roman" w:hAnsi="Arial" w:cs="Times New Roman"/>
      <w:color w:val="000000"/>
      <w:sz w:val="24"/>
      <w:szCs w:val="24"/>
      <w:lang w:val="en-US" w:eastAsia="en-US"/>
    </w:rPr>
  </w:style>
  <w:style w:type="paragraph" w:customStyle="1" w:styleId="ScheduleHeading-Single">
    <w:name w:val="Schedule Heading - Single"/>
    <w:aliases w:val="Sch   main head inc single"/>
    <w:basedOn w:val="Normal"/>
    <w:next w:val="Normal"/>
    <w:rsid w:val="00C876DD"/>
    <w:pPr>
      <w:numPr>
        <w:numId w:val="6"/>
      </w:numPr>
      <w:spacing w:before="240" w:after="360" w:line="300" w:lineRule="atLeast"/>
      <w:jc w:val="both"/>
    </w:pPr>
    <w:rPr>
      <w:rFonts w:eastAsia="Times New Roman" w:cs="Times New Roman"/>
      <w:b/>
      <w:kern w:val="28"/>
      <w:szCs w:val="20"/>
      <w:lang w:eastAsia="en-US"/>
    </w:rPr>
  </w:style>
  <w:style w:type="paragraph" w:customStyle="1" w:styleId="ScheduleHeading">
    <w:name w:val="Schedule Heading"/>
    <w:aliases w:val="Sch   main head"/>
    <w:basedOn w:val="Normal"/>
    <w:next w:val="Normal"/>
    <w:autoRedefine/>
    <w:rsid w:val="00C876DD"/>
    <w:pPr>
      <w:keepNext/>
      <w:pageBreakBefore/>
      <w:numPr>
        <w:numId w:val="7"/>
      </w:numPr>
      <w:spacing w:before="240" w:after="360" w:line="300" w:lineRule="atLeast"/>
      <w:jc w:val="center"/>
      <w:outlineLvl w:val="0"/>
    </w:pPr>
    <w:rPr>
      <w:rFonts w:eastAsia="Times New Roman" w:cs="Times New Roman"/>
      <w:b/>
      <w:kern w:val="28"/>
      <w:szCs w:val="20"/>
      <w:lang w:eastAsia="en-US"/>
    </w:rPr>
  </w:style>
  <w:style w:type="paragraph" w:customStyle="1" w:styleId="SectionHeading">
    <w:name w:val="Section Heading"/>
    <w:aliases w:val="1stIntroHeadings"/>
    <w:basedOn w:val="Normal"/>
    <w:next w:val="Normal"/>
    <w:rsid w:val="00C876DD"/>
    <w:pPr>
      <w:tabs>
        <w:tab w:val="left" w:pos="709"/>
      </w:tabs>
      <w:spacing w:before="120" w:after="120" w:line="300" w:lineRule="atLeast"/>
      <w:jc w:val="both"/>
    </w:pPr>
    <w:rPr>
      <w:rFonts w:eastAsia="Times New Roman" w:cs="Times New Roman"/>
      <w:b/>
      <w:smallCaps/>
      <w:sz w:val="24"/>
      <w:szCs w:val="20"/>
      <w:lang w:eastAsia="en-US"/>
    </w:rPr>
  </w:style>
  <w:style w:type="paragraph" w:customStyle="1" w:styleId="Shortquestion">
    <w:name w:val="Shortquestion"/>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Para">
    <w:name w:val="Speedread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Para">
    <w:name w:val="Speedread Section1 Para"/>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Section1Text">
    <w:name w:val="Speedread Section1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ext">
    <w:name w:val="Speedread Text"/>
    <w:basedOn w:val="Normal"/>
    <w:rsid w:val="00C876DD"/>
    <w:pPr>
      <w:spacing w:after="120" w:line="300" w:lineRule="atLeast"/>
      <w:jc w:val="both"/>
    </w:pPr>
    <w:rPr>
      <w:rFonts w:eastAsia="Times New Roman" w:hAnsi="Times New Roman" w:cs="Times New Roman"/>
      <w:szCs w:val="20"/>
      <w:lang w:eastAsia="en-US"/>
    </w:rPr>
  </w:style>
  <w:style w:type="paragraph" w:customStyle="1" w:styleId="SpeedreadTitle">
    <w:name w:val="Speedread Title"/>
    <w:basedOn w:val="Normal"/>
    <w:rsid w:val="00C876DD"/>
    <w:pPr>
      <w:spacing w:after="120" w:line="300" w:lineRule="atLeast"/>
      <w:jc w:val="both"/>
    </w:pPr>
    <w:rPr>
      <w:rFonts w:eastAsia="Times New Roman" w:hAnsi="Times New Roman" w:cs="Times New Roman"/>
      <w:b/>
      <w:sz w:val="36"/>
      <w:szCs w:val="20"/>
      <w:lang w:eastAsia="en-US"/>
    </w:rPr>
  </w:style>
  <w:style w:type="paragraph" w:customStyle="1" w:styleId="TemplateType">
    <w:name w:val="Template Type"/>
    <w:link w:val="TemplateTypeChar"/>
    <w:rsid w:val="00C876DD"/>
    <w:pPr>
      <w:spacing w:after="120"/>
    </w:pPr>
    <w:rPr>
      <w:rFonts w:ascii="Arial" w:hAnsi="Arial"/>
      <w:color w:val="000000"/>
      <w:sz w:val="24"/>
      <w:szCs w:val="24"/>
      <w:lang w:val="en-US" w:eastAsia="en-US"/>
    </w:rPr>
  </w:style>
  <w:style w:type="character" w:customStyle="1" w:styleId="TemplateTypeChar">
    <w:name w:val="Template Type Char"/>
    <w:link w:val="TemplateType"/>
    <w:rsid w:val="00C876DD"/>
    <w:rPr>
      <w:rFonts w:ascii="Arial" w:eastAsia="Times New Roman" w:hAnsi="Arial" w:cs="Times New Roman"/>
      <w:color w:val="000000"/>
      <w:sz w:val="24"/>
      <w:szCs w:val="24"/>
      <w:lang w:val="en-US" w:eastAsia="en-US"/>
    </w:rPr>
  </w:style>
  <w:style w:type="paragraph" w:styleId="Title">
    <w:name w:val="Title"/>
    <w:link w:val="TitleChar"/>
    <w:qFormat/>
    <w:rsid w:val="00C876DD"/>
    <w:pPr>
      <w:spacing w:after="120"/>
    </w:pPr>
    <w:rPr>
      <w:rFonts w:ascii="Arial" w:hAnsi="Arial"/>
      <w:color w:val="000000"/>
      <w:sz w:val="24"/>
      <w:szCs w:val="22"/>
      <w:lang w:val="en-US" w:eastAsia="en-US"/>
    </w:rPr>
  </w:style>
  <w:style w:type="character" w:customStyle="1" w:styleId="TitleChar">
    <w:name w:val="Title Char"/>
    <w:link w:val="Title"/>
    <w:rsid w:val="00C876DD"/>
    <w:rPr>
      <w:rFonts w:ascii="Arial" w:eastAsia="Times New Roman" w:hAnsi="Arial" w:cs="Times New Roman"/>
      <w:color w:val="000000"/>
      <w:sz w:val="24"/>
      <w:lang w:val="en-US" w:eastAsia="en-US"/>
    </w:rPr>
  </w:style>
  <w:style w:type="character" w:styleId="Hyperlink">
    <w:name w:val="Hyperlink"/>
    <w:uiPriority w:val="99"/>
    <w:rsid w:val="00C876DD"/>
    <w:rPr>
      <w:rFonts w:ascii="Arial" w:eastAsia="Arial" w:hAnsi="Arial" w:cs="Arial"/>
      <w:i/>
      <w:color w:val="000000"/>
      <w:u w:val="single"/>
    </w:rPr>
  </w:style>
  <w:style w:type="paragraph" w:customStyle="1" w:styleId="Bullet4">
    <w:name w:val="Bullet4"/>
    <w:basedOn w:val="Normal"/>
    <w:rsid w:val="00C876DD"/>
    <w:pPr>
      <w:numPr>
        <w:numId w:val="8"/>
      </w:numPr>
      <w:spacing w:after="240" w:line="240" w:lineRule="auto"/>
      <w:jc w:val="both"/>
    </w:pPr>
    <w:rPr>
      <w:rFonts w:ascii="Times New Roman" w:eastAsia="Times New Roman" w:hAnsi="Times New Roman" w:cs="Times New Roman"/>
      <w:szCs w:val="20"/>
      <w:lang w:eastAsia="en-US"/>
    </w:rPr>
  </w:style>
  <w:style w:type="paragraph" w:customStyle="1" w:styleId="Paragraph">
    <w:name w:val="Paragraph"/>
    <w:basedOn w:val="Normal"/>
    <w:link w:val="ParagraphChar"/>
    <w:qFormat/>
    <w:rsid w:val="00C876DD"/>
    <w:pPr>
      <w:spacing w:after="120" w:line="300" w:lineRule="atLeast"/>
      <w:jc w:val="both"/>
    </w:pPr>
    <w:rPr>
      <w:rFonts w:eastAsia="Times New Roman" w:cs="Times New Roman"/>
      <w:szCs w:val="20"/>
      <w:lang w:eastAsia="en-US"/>
    </w:rPr>
  </w:style>
  <w:style w:type="paragraph" w:customStyle="1" w:styleId="IgnoredTemplateText">
    <w:name w:val="Ignored Template Text"/>
    <w:link w:val="IgnoredTemplateTextChar"/>
    <w:rsid w:val="00C876DD"/>
    <w:pPr>
      <w:pBdr>
        <w:top w:val="single" w:sz="4" w:space="1" w:color="auto"/>
        <w:left w:val="single" w:sz="4" w:space="4" w:color="auto"/>
        <w:bottom w:val="single" w:sz="4" w:space="1" w:color="auto"/>
        <w:right w:val="single" w:sz="4" w:space="4" w:color="auto"/>
      </w:pBdr>
      <w:shd w:val="pct15" w:color="auto" w:fill="FBD4B4"/>
      <w:spacing w:after="120"/>
    </w:pPr>
    <w:rPr>
      <w:rFonts w:ascii="Arial" w:hAnsi="Arial"/>
      <w:b/>
      <w:i/>
      <w:color w:val="000000"/>
      <w:sz w:val="22"/>
      <w:szCs w:val="18"/>
      <w:lang w:val="en-US" w:eastAsia="en-US"/>
    </w:rPr>
  </w:style>
  <w:style w:type="character" w:customStyle="1" w:styleId="IgnoredTemplateTextChar">
    <w:name w:val="Ignored Template Text Char"/>
    <w:link w:val="IgnoredTemplateText"/>
    <w:rsid w:val="00C876DD"/>
    <w:rPr>
      <w:rFonts w:ascii="Arial" w:eastAsia="Times New Roman" w:hAnsi="Arial" w:cs="Times New Roman"/>
      <w:b/>
      <w:i/>
      <w:color w:val="000000"/>
      <w:szCs w:val="18"/>
      <w:shd w:val="pct15" w:color="auto" w:fill="FBD4B4"/>
      <w:lang w:val="en-US" w:eastAsia="en-US"/>
    </w:rPr>
  </w:style>
  <w:style w:type="paragraph" w:customStyle="1" w:styleId="InternalTOC">
    <w:name w:val="Internal TOC"/>
    <w:rsid w:val="00C876DD"/>
    <w:pPr>
      <w:spacing w:after="120"/>
    </w:pPr>
    <w:rPr>
      <w:rFonts w:ascii="Arial" w:hAnsi="Arial"/>
      <w:color w:val="000000"/>
      <w:sz w:val="22"/>
      <w:szCs w:val="22"/>
      <w:lang w:val="en-US" w:eastAsia="en-US"/>
    </w:rPr>
  </w:style>
  <w:style w:type="paragraph" w:customStyle="1" w:styleId="HeadingLevel1">
    <w:name w:val="Heading Level 1"/>
    <w:basedOn w:val="Normal"/>
    <w:next w:val="Paragraph"/>
    <w:rsid w:val="00C876DD"/>
    <w:pPr>
      <w:keepNext/>
      <w:spacing w:after="120" w:line="300" w:lineRule="atLeast"/>
      <w:jc w:val="both"/>
      <w:outlineLvl w:val="1"/>
    </w:pPr>
    <w:rPr>
      <w:rFonts w:eastAsia="Times New Roman" w:hAnsi="Times New Roman" w:cs="Times New Roman"/>
      <w:b/>
      <w:sz w:val="36"/>
      <w:szCs w:val="20"/>
      <w:lang w:eastAsia="en-US"/>
    </w:rPr>
  </w:style>
  <w:style w:type="paragraph" w:customStyle="1" w:styleId="HeadingLevel2">
    <w:name w:val="Heading Level 2"/>
    <w:basedOn w:val="Normal"/>
    <w:next w:val="Paragraph"/>
    <w:rsid w:val="00C876DD"/>
    <w:pPr>
      <w:keepNext/>
      <w:spacing w:after="120" w:line="300" w:lineRule="atLeast"/>
      <w:jc w:val="both"/>
      <w:outlineLvl w:val="2"/>
    </w:pPr>
    <w:rPr>
      <w:rFonts w:eastAsia="Times New Roman" w:hAnsi="Times New Roman" w:cs="Times New Roman"/>
      <w:b/>
      <w:sz w:val="28"/>
      <w:szCs w:val="20"/>
      <w:lang w:eastAsia="en-US"/>
    </w:rPr>
  </w:style>
  <w:style w:type="paragraph" w:customStyle="1" w:styleId="HeadingLevel3">
    <w:name w:val="Heading Level 3"/>
    <w:basedOn w:val="Normal"/>
    <w:next w:val="Paragraph"/>
    <w:rsid w:val="00C876DD"/>
    <w:pPr>
      <w:keepNext/>
      <w:spacing w:after="120" w:line="300" w:lineRule="atLeast"/>
      <w:jc w:val="both"/>
      <w:outlineLvl w:val="3"/>
    </w:pPr>
    <w:rPr>
      <w:rFonts w:eastAsia="Times New Roman" w:hAnsi="Times New Roman" w:cs="Times New Roman"/>
      <w:b/>
      <w:i/>
      <w:sz w:val="28"/>
      <w:szCs w:val="20"/>
      <w:lang w:eastAsia="en-US"/>
    </w:rPr>
  </w:style>
  <w:style w:type="paragraph" w:customStyle="1" w:styleId="PinPointRef">
    <w:name w:val="PinPoint Ref"/>
    <w:link w:val="PinPointRefChar"/>
    <w:qFormat/>
    <w:rsid w:val="00C876DD"/>
    <w:rPr>
      <w:rFonts w:ascii="Times New Roman" w:hAnsi="Times New Roman"/>
      <w:b/>
      <w:vanish/>
      <w:color w:val="000000"/>
      <w:sz w:val="18"/>
      <w:lang w:eastAsia="en-US"/>
    </w:rPr>
  </w:style>
  <w:style w:type="character" w:customStyle="1" w:styleId="PinPointRefChar">
    <w:name w:val="PinPoint Ref Char"/>
    <w:link w:val="PinPointRef"/>
    <w:rsid w:val="00C876DD"/>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C876DD"/>
    <w:pPr>
      <w:spacing w:before="120"/>
      <w:ind w:left="720"/>
    </w:pPr>
    <w:rPr>
      <w:rFonts w:ascii="Arial" w:hAnsi="Arial"/>
      <w:color w:val="000000"/>
      <w:sz w:val="18"/>
      <w:lang w:eastAsia="en-US"/>
    </w:rPr>
  </w:style>
  <w:style w:type="character" w:customStyle="1" w:styleId="BlockQuoteChar">
    <w:name w:val="Block Quote Char"/>
    <w:link w:val="BlockQuote"/>
    <w:rsid w:val="00C876DD"/>
    <w:rPr>
      <w:rFonts w:ascii="Arial" w:eastAsia="Times New Roman" w:hAnsi="Arial" w:cs="Times New Roman"/>
      <w:color w:val="000000"/>
      <w:sz w:val="18"/>
      <w:szCs w:val="20"/>
      <w:lang w:eastAsia="en-US"/>
    </w:rPr>
  </w:style>
  <w:style w:type="paragraph" w:customStyle="1" w:styleId="ListParagraphLevel1">
    <w:name w:val="List Paragraph Level 1"/>
    <w:link w:val="ListParagraphLevel1Char"/>
    <w:rsid w:val="00C876DD"/>
    <w:pPr>
      <w:spacing w:after="120"/>
      <w:ind w:left="357"/>
      <w:jc w:val="both"/>
    </w:pPr>
    <w:rPr>
      <w:rFonts w:ascii="Arial" w:hAnsi="Arial"/>
      <w:color w:val="000000"/>
      <w:sz w:val="22"/>
      <w:szCs w:val="24"/>
      <w:lang w:val="en-US" w:eastAsia="en-US"/>
    </w:rPr>
  </w:style>
  <w:style w:type="paragraph" w:customStyle="1" w:styleId="ListParagraphLevel2">
    <w:name w:val="List Paragraph Level 2"/>
    <w:link w:val="ListParagraphLevel2Char"/>
    <w:qFormat/>
    <w:rsid w:val="00C876DD"/>
    <w:pPr>
      <w:spacing w:after="120"/>
      <w:ind w:left="1077"/>
      <w:jc w:val="both"/>
    </w:pPr>
    <w:rPr>
      <w:rFonts w:ascii="Arial" w:hAnsi="Arial"/>
      <w:color w:val="000000"/>
      <w:sz w:val="22"/>
      <w:szCs w:val="24"/>
      <w:lang w:val="en-US" w:eastAsia="en-US"/>
    </w:rPr>
  </w:style>
  <w:style w:type="character" w:customStyle="1" w:styleId="ListParagraphLevel1Char">
    <w:name w:val="List Paragraph Level 1 Char"/>
    <w:link w:val="ListParagraphLevel1"/>
    <w:rsid w:val="00C876DD"/>
    <w:rPr>
      <w:rFonts w:ascii="Arial" w:eastAsia="Times New Roman" w:hAnsi="Arial" w:cs="Times New Roman"/>
      <w:color w:val="000000"/>
      <w:szCs w:val="24"/>
      <w:lang w:val="en-US" w:eastAsia="en-US"/>
    </w:rPr>
  </w:style>
  <w:style w:type="character" w:customStyle="1" w:styleId="ListParagraphLevel2Char">
    <w:name w:val="List Paragraph Level 2 Char"/>
    <w:link w:val="ListParagraphLevel2"/>
    <w:rsid w:val="00C876DD"/>
    <w:rPr>
      <w:rFonts w:ascii="Arial" w:eastAsia="Times New Roman" w:hAnsi="Arial" w:cs="Times New Roman"/>
      <w:color w:val="000000"/>
      <w:szCs w:val="24"/>
      <w:lang w:val="en-US" w:eastAsia="en-US"/>
    </w:rPr>
  </w:style>
  <w:style w:type="paragraph" w:customStyle="1" w:styleId="IntroDefault">
    <w:name w:val="Intro Default"/>
    <w:basedOn w:val="Paragraph"/>
    <w:qFormat/>
    <w:rsid w:val="00C876DD"/>
  </w:style>
  <w:style w:type="paragraph" w:customStyle="1" w:styleId="IntroCustom">
    <w:name w:val="Intro Custom"/>
    <w:basedOn w:val="Paragraph"/>
    <w:qFormat/>
    <w:rsid w:val="00C876DD"/>
  </w:style>
  <w:style w:type="paragraph" w:customStyle="1" w:styleId="PrecedentType">
    <w:name w:val="Precedent Type"/>
    <w:basedOn w:val="IgnoredSpacing"/>
    <w:qFormat/>
    <w:rsid w:val="00C876DD"/>
  </w:style>
  <w:style w:type="paragraph" w:customStyle="1" w:styleId="Operative">
    <w:name w:val="Operative"/>
    <w:basedOn w:val="IgnoredSpacing"/>
    <w:qFormat/>
    <w:rsid w:val="00C876DD"/>
    <w:rPr>
      <w:vanish/>
    </w:rPr>
  </w:style>
  <w:style w:type="paragraph" w:customStyle="1" w:styleId="SpeedreadBulletList1">
    <w:name w:val="Speedread Bullet List 1"/>
    <w:basedOn w:val="BulletList1"/>
    <w:qFormat/>
    <w:rsid w:val="00C876DD"/>
  </w:style>
  <w:style w:type="paragraph" w:customStyle="1" w:styleId="PartiesTitle">
    <w:name w:val="Parties Title"/>
    <w:basedOn w:val="Paragraph"/>
    <w:qFormat/>
    <w:rsid w:val="00C876DD"/>
    <w:rPr>
      <w:b/>
    </w:rPr>
  </w:style>
  <w:style w:type="table" w:styleId="TableGrid">
    <w:name w:val="Table Grid"/>
    <w:basedOn w:val="TableNormal"/>
    <w:uiPriority w:val="39"/>
    <w:rsid w:val="00C876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C876DD"/>
    <w:pPr>
      <w:numPr>
        <w:numId w:val="9"/>
      </w:numPr>
      <w:shd w:val="clear" w:color="auto" w:fill="D9D9D9"/>
      <w:spacing w:after="120"/>
      <w:ind w:left="357" w:hanging="357"/>
      <w:outlineLvl w:val="0"/>
    </w:pPr>
    <w:rPr>
      <w:rFonts w:ascii="Arial" w:hAnsi="Arial"/>
      <w:color w:val="000000"/>
      <w:sz w:val="22"/>
      <w:szCs w:val="22"/>
      <w:lang w:val="en-US" w:eastAsia="en-US"/>
    </w:rPr>
  </w:style>
  <w:style w:type="paragraph" w:customStyle="1" w:styleId="BulletListPattern1">
    <w:name w:val="Bullet List Pattern 1"/>
    <w:basedOn w:val="BulletList1"/>
    <w:qFormat/>
    <w:rsid w:val="00C876DD"/>
    <w:pPr>
      <w:shd w:val="clear" w:color="auto" w:fill="D9D9D9"/>
      <w:spacing w:after="120" w:line="240" w:lineRule="auto"/>
      <w:ind w:left="714" w:hanging="357"/>
    </w:pPr>
  </w:style>
  <w:style w:type="character" w:customStyle="1" w:styleId="QuestionParagraphChar">
    <w:name w:val="Question Paragraph Char"/>
    <w:link w:val="QuestionParagraph"/>
    <w:rsid w:val="00C876DD"/>
    <w:rPr>
      <w:rFonts w:ascii="Arial" w:hAnsi="Arial"/>
      <w:color w:val="000000"/>
      <w:sz w:val="22"/>
      <w:szCs w:val="22"/>
      <w:shd w:val="clear" w:color="auto" w:fill="D9D9D9"/>
      <w:lang w:val="en-US" w:eastAsia="en-US"/>
    </w:rPr>
  </w:style>
  <w:style w:type="paragraph" w:customStyle="1" w:styleId="BulletListPattern2">
    <w:name w:val="Bullet List Pattern 2"/>
    <w:basedOn w:val="BulletList2"/>
    <w:qFormat/>
    <w:rsid w:val="00C876DD"/>
    <w:pPr>
      <w:shd w:val="clear" w:color="auto" w:fill="D9D9D9"/>
      <w:ind w:left="1077"/>
    </w:pPr>
  </w:style>
  <w:style w:type="paragraph" w:customStyle="1" w:styleId="TestimoniumContract">
    <w:name w:val="Testimonium Contract"/>
    <w:basedOn w:val="Paragraph"/>
    <w:qFormat/>
    <w:rsid w:val="00C876DD"/>
  </w:style>
  <w:style w:type="paragraph" w:customStyle="1" w:styleId="TestimoniumDeed">
    <w:name w:val="Testimonium Deed"/>
    <w:basedOn w:val="Paragraph"/>
    <w:qFormat/>
    <w:rsid w:val="00C876DD"/>
  </w:style>
  <w:style w:type="paragraph" w:customStyle="1" w:styleId="Titlesubclause2">
    <w:name w:val="Title subclause2"/>
    <w:basedOn w:val="Untitledsubclause2"/>
    <w:qFormat/>
    <w:rsid w:val="00C876DD"/>
    <w:rPr>
      <w:b/>
    </w:rPr>
  </w:style>
  <w:style w:type="paragraph" w:customStyle="1" w:styleId="Titlesubclause3">
    <w:name w:val="Title subclause3"/>
    <w:basedOn w:val="Untitledsubclause3"/>
    <w:qFormat/>
    <w:rsid w:val="00C876DD"/>
    <w:rPr>
      <w:b/>
    </w:rPr>
  </w:style>
  <w:style w:type="paragraph" w:customStyle="1" w:styleId="Titlesubclause4">
    <w:name w:val="Title subclause4"/>
    <w:basedOn w:val="Untitledsubclause4"/>
    <w:qFormat/>
    <w:rsid w:val="00C876DD"/>
    <w:rPr>
      <w:b/>
    </w:rPr>
  </w:style>
  <w:style w:type="paragraph" w:customStyle="1" w:styleId="UntitledClause">
    <w:name w:val="Untitled Clause"/>
    <w:basedOn w:val="TitleClause"/>
    <w:qFormat/>
    <w:rsid w:val="00C876DD"/>
    <w:pPr>
      <w:spacing w:before="120"/>
    </w:pPr>
    <w:rPr>
      <w:b w:val="0"/>
    </w:rPr>
  </w:style>
  <w:style w:type="paragraph" w:customStyle="1" w:styleId="ScheduleUntitledClause">
    <w:name w:val="Schedule Untitled Clause"/>
    <w:basedOn w:val="ScheduleTitleClause"/>
    <w:qFormat/>
    <w:rsid w:val="00C876DD"/>
    <w:pPr>
      <w:spacing w:before="120"/>
    </w:pPr>
    <w:rPr>
      <w:b w:val="0"/>
    </w:rPr>
  </w:style>
  <w:style w:type="paragraph" w:customStyle="1" w:styleId="Titlesubclause1">
    <w:name w:val="Title subclause1"/>
    <w:basedOn w:val="Untitledsubclause1"/>
    <w:qFormat/>
    <w:rsid w:val="00C876DD"/>
    <w:pPr>
      <w:spacing w:before="120"/>
    </w:pPr>
    <w:rPr>
      <w:b/>
    </w:rPr>
  </w:style>
  <w:style w:type="paragraph" w:customStyle="1" w:styleId="Schedule">
    <w:name w:val="Schedule"/>
    <w:qFormat/>
    <w:rsid w:val="00C876DD"/>
    <w:pPr>
      <w:numPr>
        <w:numId w:val="22"/>
      </w:numPr>
      <w:spacing w:before="240" w:after="240" w:line="240" w:lineRule="atLeast"/>
    </w:pPr>
    <w:rPr>
      <w:rFonts w:ascii="Arial" w:hAnsi="Arial"/>
      <w:b/>
      <w:color w:val="000000"/>
      <w:sz w:val="22"/>
      <w:szCs w:val="22"/>
      <w:lang w:val="en-US" w:eastAsia="en-US"/>
    </w:rPr>
  </w:style>
  <w:style w:type="paragraph" w:customStyle="1" w:styleId="ScheduleTitle">
    <w:name w:val="Schedule Title"/>
    <w:basedOn w:val="Paragraph"/>
    <w:qFormat/>
    <w:rsid w:val="00C876DD"/>
    <w:rPr>
      <w:b/>
    </w:rPr>
  </w:style>
  <w:style w:type="paragraph" w:customStyle="1" w:styleId="Part">
    <w:name w:val="Part"/>
    <w:basedOn w:val="Paragraph"/>
    <w:qFormat/>
    <w:rsid w:val="00C876DD"/>
    <w:pPr>
      <w:numPr>
        <w:ilvl w:val="1"/>
        <w:numId w:val="22"/>
      </w:numPr>
      <w:spacing w:before="240" w:after="240"/>
      <w:jc w:val="left"/>
    </w:pPr>
    <w:rPr>
      <w:b/>
    </w:rPr>
  </w:style>
  <w:style w:type="paragraph" w:customStyle="1" w:styleId="AnnexTitle">
    <w:name w:val="Annex Title"/>
    <w:basedOn w:val="Paragraph"/>
    <w:next w:val="Paragraph"/>
    <w:qFormat/>
    <w:rsid w:val="00C876DD"/>
    <w:pPr>
      <w:spacing w:before="240" w:after="240"/>
    </w:pPr>
    <w:rPr>
      <w:b/>
    </w:rPr>
  </w:style>
  <w:style w:type="paragraph" w:customStyle="1" w:styleId="PartTitle">
    <w:name w:val="Part Title"/>
    <w:basedOn w:val="Paragraph"/>
    <w:qFormat/>
    <w:rsid w:val="00C876DD"/>
    <w:rPr>
      <w:b/>
    </w:rPr>
  </w:style>
  <w:style w:type="paragraph" w:customStyle="1" w:styleId="Testimonium">
    <w:name w:val="Testimonium"/>
    <w:basedOn w:val="Paragraph"/>
    <w:qFormat/>
    <w:rsid w:val="00C876DD"/>
  </w:style>
  <w:style w:type="character" w:customStyle="1" w:styleId="apple-converted-space">
    <w:name w:val="apple-converted-space"/>
    <w:rsid w:val="00C876DD"/>
    <w:rPr>
      <w:rFonts w:ascii="Arial" w:eastAsia="Arial" w:hAnsi="Arial" w:cs="Arial"/>
      <w:color w:val="000000"/>
    </w:rPr>
  </w:style>
  <w:style w:type="character" w:styleId="Emphasis">
    <w:name w:val="Emphasis"/>
    <w:uiPriority w:val="20"/>
    <w:qFormat/>
    <w:rsid w:val="00C876DD"/>
    <w:rPr>
      <w:rFonts w:ascii="Arial" w:eastAsia="Arial" w:hAnsi="Arial" w:cs="Arial"/>
      <w:i/>
      <w:iCs/>
      <w:color w:val="000000"/>
    </w:rPr>
  </w:style>
  <w:style w:type="paragraph" w:customStyle="1" w:styleId="NoNumTitle-Clause">
    <w:name w:val="No Num Title - Clause"/>
    <w:basedOn w:val="TitleClause"/>
    <w:qFormat/>
    <w:rsid w:val="00C876DD"/>
    <w:pPr>
      <w:numPr>
        <w:numId w:val="0"/>
      </w:numPr>
      <w:ind w:left="720"/>
    </w:pPr>
  </w:style>
  <w:style w:type="paragraph" w:customStyle="1" w:styleId="NoNumTitlesubclause1">
    <w:name w:val="No Num Title subclause1"/>
    <w:basedOn w:val="Titlesubclause1"/>
    <w:qFormat/>
    <w:rsid w:val="00C876DD"/>
    <w:pPr>
      <w:numPr>
        <w:ilvl w:val="0"/>
        <w:numId w:val="0"/>
      </w:numPr>
      <w:ind w:left="720"/>
    </w:pPr>
  </w:style>
  <w:style w:type="paragraph" w:customStyle="1" w:styleId="AddressLine">
    <w:name w:val="Address Line"/>
    <w:basedOn w:val="Paragraph"/>
    <w:qFormat/>
    <w:rsid w:val="00C876DD"/>
  </w:style>
  <w:style w:type="paragraph" w:styleId="Date">
    <w:name w:val="Date"/>
    <w:basedOn w:val="Paragraph"/>
    <w:qFormat/>
    <w:rsid w:val="00C876DD"/>
  </w:style>
  <w:style w:type="paragraph" w:customStyle="1" w:styleId="SalutationPara">
    <w:name w:val="Salutation Para"/>
    <w:basedOn w:val="Paragraph"/>
    <w:next w:val="Paragraph"/>
    <w:qFormat/>
    <w:rsid w:val="00C876DD"/>
    <w:pPr>
      <w:spacing w:before="240"/>
    </w:pPr>
  </w:style>
  <w:style w:type="character" w:styleId="FollowedHyperlink">
    <w:name w:val="FollowedHyperlink"/>
    <w:uiPriority w:val="99"/>
    <w:semiHidden/>
    <w:unhideWhenUsed/>
    <w:rsid w:val="00C876DD"/>
    <w:rPr>
      <w:rFonts w:ascii="Arial" w:eastAsia="Arial" w:hAnsi="Arial" w:cs="Arial"/>
      <w:i/>
      <w:color w:val="000000"/>
      <w:u w:val="single"/>
    </w:rPr>
  </w:style>
  <w:style w:type="character" w:customStyle="1" w:styleId="DefTerm">
    <w:name w:val="DefTerm"/>
    <w:uiPriority w:val="1"/>
    <w:qFormat/>
    <w:rsid w:val="00C876DD"/>
    <w:rPr>
      <w:rFonts w:ascii="Arial" w:eastAsia="Arial" w:hAnsi="Arial" w:cs="Arial"/>
      <w:b/>
      <w:color w:val="000000"/>
    </w:rPr>
  </w:style>
  <w:style w:type="table" w:customStyle="1" w:styleId="ShadedTable">
    <w:name w:val="Shaded Table"/>
    <w:basedOn w:val="TableNormal"/>
    <w:uiPriority w:val="99"/>
    <w:rsid w:val="00C876DD"/>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C876DD"/>
    <w:rPr>
      <w:i/>
    </w:rPr>
  </w:style>
  <w:style w:type="paragraph" w:customStyle="1" w:styleId="LetterTitle">
    <w:name w:val="Letter Title"/>
    <w:basedOn w:val="Paragraph"/>
    <w:qFormat/>
    <w:rsid w:val="00C876DD"/>
    <w:rPr>
      <w:b/>
    </w:rPr>
  </w:style>
  <w:style w:type="paragraph" w:customStyle="1" w:styleId="LongQuestionPara">
    <w:name w:val="Long Question Para"/>
    <w:basedOn w:val="Paragraph"/>
    <w:link w:val="LongQuestionParaChar"/>
    <w:rsid w:val="00C876DD"/>
    <w:pPr>
      <w:numPr>
        <w:numId w:val="12"/>
      </w:numPr>
      <w:spacing w:before="240" w:after="240" w:line="240" w:lineRule="auto"/>
      <w:outlineLvl w:val="1"/>
    </w:pPr>
    <w:rPr>
      <w:sz w:val="20"/>
      <w:lang w:val="en-US"/>
    </w:rPr>
  </w:style>
  <w:style w:type="character" w:customStyle="1" w:styleId="LongQuestionParaChar">
    <w:name w:val="Long Question Para Char"/>
    <w:link w:val="LongQuestionPara"/>
    <w:rsid w:val="00C876DD"/>
    <w:rPr>
      <w:rFonts w:ascii="Arial" w:hAnsi="Arial"/>
      <w:color w:val="000000"/>
      <w:lang w:val="en-US" w:eastAsia="en-US"/>
    </w:rPr>
  </w:style>
  <w:style w:type="paragraph" w:customStyle="1" w:styleId="ShortQuestionPara">
    <w:name w:val="Short Question Para"/>
    <w:basedOn w:val="Paragraph"/>
    <w:link w:val="ShortQuestionParaChar"/>
    <w:rsid w:val="00C876DD"/>
    <w:pPr>
      <w:shd w:val="clear" w:color="auto" w:fill="D9D9D9"/>
      <w:tabs>
        <w:tab w:val="left" w:pos="270"/>
      </w:tabs>
      <w:spacing w:after="40" w:line="240" w:lineRule="auto"/>
      <w:outlineLvl w:val="1"/>
    </w:pPr>
    <w:rPr>
      <w:bCs/>
      <w:sz w:val="20"/>
      <w:lang w:val="en-US"/>
    </w:rPr>
  </w:style>
  <w:style w:type="character" w:customStyle="1" w:styleId="ShortQuestionParaChar">
    <w:name w:val="Short Question Para Char"/>
    <w:link w:val="ShortQuestionPara"/>
    <w:rsid w:val="00C876DD"/>
    <w:rPr>
      <w:rFonts w:ascii="Arial" w:eastAsia="Times New Roman" w:hAnsi="Arial" w:cs="Times New Roman"/>
      <w:bCs/>
      <w:color w:val="000000"/>
      <w:sz w:val="20"/>
      <w:szCs w:val="20"/>
      <w:shd w:val="clear" w:color="auto" w:fill="D9D9D9"/>
      <w:lang w:val="en-US" w:eastAsia="en-US"/>
    </w:rPr>
  </w:style>
  <w:style w:type="character" w:customStyle="1" w:styleId="ParagraphChar">
    <w:name w:val="Paragraph Char"/>
    <w:link w:val="Paragraph"/>
    <w:rsid w:val="00C876DD"/>
    <w:rPr>
      <w:rFonts w:ascii="Arial" w:eastAsia="Times New Roman" w:hAnsi="Arial" w:cs="Times New Roman"/>
      <w:color w:val="000000"/>
      <w:szCs w:val="20"/>
      <w:lang w:eastAsia="en-US"/>
    </w:rPr>
  </w:style>
  <w:style w:type="paragraph" w:customStyle="1" w:styleId="811D3A974D454A258B71E3C4DE24C4F210">
    <w:name w:val="811D3A974D454A258B71E3C4DE24C4F210"/>
    <w:rsid w:val="00C876DD"/>
    <w:pPr>
      <w:spacing w:after="120"/>
    </w:pPr>
    <w:rPr>
      <w:rFonts w:ascii="Arial" w:hAnsi="Arial"/>
      <w:color w:val="000000"/>
      <w:sz w:val="24"/>
      <w:szCs w:val="22"/>
      <w:lang w:val="en-US" w:eastAsia="en-US"/>
    </w:rPr>
  </w:style>
  <w:style w:type="paragraph" w:customStyle="1" w:styleId="ListParagraphLevel3">
    <w:name w:val="List Paragraph Level 3"/>
    <w:qFormat/>
    <w:rsid w:val="00C876DD"/>
    <w:pPr>
      <w:spacing w:after="120"/>
      <w:ind w:left="2160"/>
    </w:pPr>
    <w:rPr>
      <w:rFonts w:ascii="Times New Roman" w:hAnsi="Times New Roman"/>
      <w:color w:val="000000"/>
      <w:sz w:val="24"/>
      <w:lang w:eastAsia="en-US"/>
    </w:rPr>
  </w:style>
  <w:style w:type="paragraph" w:customStyle="1" w:styleId="DocumentTitle">
    <w:name w:val="Document Title"/>
    <w:basedOn w:val="Paragraph"/>
    <w:qFormat/>
    <w:rsid w:val="00C876DD"/>
    <w:pPr>
      <w:jc w:val="center"/>
    </w:pPr>
    <w:rPr>
      <w:sz w:val="28"/>
    </w:rPr>
  </w:style>
  <w:style w:type="paragraph" w:customStyle="1" w:styleId="Title-Clause">
    <w:name w:val="Title - Clause"/>
    <w:aliases w:val="BIWS Heading 1"/>
    <w:basedOn w:val="Normal"/>
    <w:rsid w:val="00C876DD"/>
    <w:pPr>
      <w:keepNext/>
      <w:tabs>
        <w:tab w:val="num" w:pos="720"/>
      </w:tabs>
      <w:spacing w:before="240" w:after="240" w:line="300" w:lineRule="atLeast"/>
      <w:ind w:left="720" w:hanging="720"/>
      <w:jc w:val="both"/>
      <w:outlineLvl w:val="0"/>
    </w:pPr>
    <w:rPr>
      <w:rFonts w:eastAsia="Times New Roman" w:cs="Times New Roman"/>
      <w:b/>
      <w:kern w:val="28"/>
      <w:szCs w:val="20"/>
      <w:lang w:eastAsia="en-US"/>
    </w:rPr>
  </w:style>
  <w:style w:type="paragraph" w:customStyle="1" w:styleId="Para-Clause-nonum">
    <w:name w:val="Para - Clause - no num"/>
    <w:aliases w:val="Body  clause"/>
    <w:basedOn w:val="Normal"/>
    <w:next w:val="Title-Clause"/>
    <w:rsid w:val="00C876DD"/>
    <w:pPr>
      <w:spacing w:before="120" w:after="120" w:line="300" w:lineRule="atLeast"/>
      <w:ind w:left="720"/>
      <w:jc w:val="both"/>
    </w:pPr>
    <w:rPr>
      <w:rFonts w:eastAsia="Times New Roman" w:cs="Times New Roman"/>
      <w:szCs w:val="20"/>
      <w:lang w:eastAsia="en-US"/>
    </w:rPr>
  </w:style>
  <w:style w:type="paragraph" w:customStyle="1" w:styleId="Para-Clause">
    <w:name w:val="Para - Clause"/>
    <w:basedOn w:val="Title-Clause"/>
    <w:qFormat/>
    <w:rsid w:val="00C876DD"/>
    <w:pPr>
      <w:spacing w:before="120"/>
    </w:pPr>
    <w:rPr>
      <w:b w:val="0"/>
    </w:rPr>
  </w:style>
  <w:style w:type="paragraph" w:customStyle="1" w:styleId="CoversheetParagraph">
    <w:name w:val="Coversheet Paragraph"/>
    <w:basedOn w:val="Normal"/>
    <w:autoRedefine/>
    <w:rsid w:val="00C876DD"/>
    <w:pPr>
      <w:spacing w:after="0" w:line="300" w:lineRule="atLeast"/>
      <w:jc w:val="center"/>
    </w:pPr>
    <w:rPr>
      <w:rFonts w:ascii="Times New Roman" w:eastAsia="Times New Roman" w:hAnsi="Times New Roman" w:cs="Times New Roman"/>
      <w:szCs w:val="20"/>
      <w:lang w:eastAsia="en-US"/>
    </w:rPr>
  </w:style>
  <w:style w:type="paragraph" w:customStyle="1" w:styleId="CoversheetIntro">
    <w:name w:val="Coversheet Intro"/>
    <w:basedOn w:val="CoversheetTitle"/>
    <w:qFormat/>
    <w:rsid w:val="00C876DD"/>
    <w:rPr>
      <w:smallCaps w:val="0"/>
      <w:sz w:val="22"/>
    </w:rPr>
  </w:style>
  <w:style w:type="paragraph" w:customStyle="1" w:styleId="CoversheetStaticText">
    <w:name w:val="Coversheet Static Text"/>
    <w:basedOn w:val="CoversheetIntro"/>
    <w:qFormat/>
    <w:rsid w:val="00C876DD"/>
    <w:rPr>
      <w:b w:val="0"/>
    </w:rPr>
  </w:style>
  <w:style w:type="paragraph" w:customStyle="1" w:styleId="CoversheetParty">
    <w:name w:val="Coversheet Party"/>
    <w:basedOn w:val="CoversheetIntro"/>
    <w:qFormat/>
    <w:rsid w:val="00C876DD"/>
  </w:style>
  <w:style w:type="paragraph" w:customStyle="1" w:styleId="NoNumUntitledClause">
    <w:name w:val="No Num Untitled Clause"/>
    <w:basedOn w:val="UntitledClause"/>
    <w:qFormat/>
    <w:rsid w:val="00C876DD"/>
    <w:pPr>
      <w:numPr>
        <w:numId w:val="0"/>
      </w:numPr>
      <w:ind w:left="720"/>
    </w:pPr>
  </w:style>
  <w:style w:type="paragraph" w:customStyle="1" w:styleId="BackgroundSubclause1">
    <w:name w:val="Background Subclause1"/>
    <w:basedOn w:val="Background"/>
    <w:qFormat/>
    <w:rsid w:val="00C876DD"/>
    <w:pPr>
      <w:numPr>
        <w:ilvl w:val="1"/>
      </w:numPr>
    </w:pPr>
  </w:style>
  <w:style w:type="paragraph" w:customStyle="1" w:styleId="BackgroundSubclause2">
    <w:name w:val="Background Subclause2"/>
    <w:basedOn w:val="Background"/>
    <w:qFormat/>
    <w:rsid w:val="00C876DD"/>
    <w:pPr>
      <w:numPr>
        <w:ilvl w:val="3"/>
      </w:numPr>
    </w:pPr>
  </w:style>
  <w:style w:type="paragraph" w:customStyle="1" w:styleId="HeadingLevel2CQA">
    <w:name w:val="Heading Level 2 CQA"/>
    <w:basedOn w:val="HeadingLevel2"/>
    <w:qFormat/>
    <w:rsid w:val="00C876DD"/>
  </w:style>
  <w:style w:type="paragraph" w:customStyle="1" w:styleId="ClauseBullet1">
    <w:name w:val="Clause Bullet 1"/>
    <w:basedOn w:val="ParaClause"/>
    <w:qFormat/>
    <w:rsid w:val="00C876DD"/>
    <w:pPr>
      <w:numPr>
        <w:numId w:val="13"/>
      </w:numPr>
      <w:ind w:left="1077" w:hanging="357"/>
      <w:outlineLvl w:val="0"/>
    </w:pPr>
  </w:style>
  <w:style w:type="paragraph" w:customStyle="1" w:styleId="ClauseBullet2">
    <w:name w:val="Clause Bullet 2"/>
    <w:basedOn w:val="ParaClause"/>
    <w:qFormat/>
    <w:rsid w:val="00C876DD"/>
    <w:pPr>
      <w:numPr>
        <w:numId w:val="14"/>
      </w:numPr>
      <w:ind w:left="1434" w:hanging="357"/>
      <w:outlineLvl w:val="1"/>
    </w:pPr>
  </w:style>
  <w:style w:type="paragraph" w:customStyle="1" w:styleId="subclause1Bullet1">
    <w:name w:val="subclause 1 Bullet 1"/>
    <w:basedOn w:val="Parasubclause1"/>
    <w:qFormat/>
    <w:rsid w:val="00C876DD"/>
    <w:pPr>
      <w:numPr>
        <w:numId w:val="15"/>
      </w:numPr>
    </w:pPr>
  </w:style>
  <w:style w:type="paragraph" w:customStyle="1" w:styleId="subclause2Bullet1">
    <w:name w:val="subclause 2 Bullet 1"/>
    <w:basedOn w:val="Parasubclause2"/>
    <w:qFormat/>
    <w:rsid w:val="00C876DD"/>
    <w:pPr>
      <w:numPr>
        <w:numId w:val="17"/>
      </w:numPr>
      <w:ind w:left="1434" w:hanging="357"/>
    </w:pPr>
  </w:style>
  <w:style w:type="paragraph" w:customStyle="1" w:styleId="subclause3Bullet1">
    <w:name w:val="subclause 3 Bullet 1"/>
    <w:basedOn w:val="Parasubclause3"/>
    <w:qFormat/>
    <w:rsid w:val="00C876DD"/>
    <w:pPr>
      <w:numPr>
        <w:numId w:val="16"/>
      </w:numPr>
      <w:ind w:left="2273" w:hanging="357"/>
    </w:pPr>
  </w:style>
  <w:style w:type="paragraph" w:customStyle="1" w:styleId="subclause1Bullet2">
    <w:name w:val="subclause 1 Bullet 2"/>
    <w:basedOn w:val="Parasubclause1"/>
    <w:qFormat/>
    <w:rsid w:val="00C876DD"/>
    <w:pPr>
      <w:numPr>
        <w:numId w:val="18"/>
      </w:numPr>
      <w:ind w:left="1434" w:hanging="357"/>
    </w:pPr>
  </w:style>
  <w:style w:type="paragraph" w:customStyle="1" w:styleId="subclause2Bullet2">
    <w:name w:val="subclause 2 Bullet 2"/>
    <w:basedOn w:val="Parasubclause2"/>
    <w:qFormat/>
    <w:rsid w:val="00C876DD"/>
    <w:pPr>
      <w:numPr>
        <w:numId w:val="19"/>
      </w:numPr>
      <w:ind w:left="2273" w:hanging="357"/>
    </w:pPr>
  </w:style>
  <w:style w:type="paragraph" w:customStyle="1" w:styleId="subclause3Bullet2">
    <w:name w:val="subclause 3 Bullet 2"/>
    <w:basedOn w:val="Parasubclause3"/>
    <w:qFormat/>
    <w:rsid w:val="00C876DD"/>
    <w:pPr>
      <w:numPr>
        <w:numId w:val="20"/>
      </w:numPr>
      <w:ind w:left="2982" w:hanging="357"/>
    </w:pPr>
  </w:style>
  <w:style w:type="paragraph" w:customStyle="1" w:styleId="DefinedTermBullet">
    <w:name w:val="Defined Term Bullet"/>
    <w:basedOn w:val="DefinedTermPara"/>
    <w:qFormat/>
    <w:rsid w:val="00C876DD"/>
    <w:pPr>
      <w:numPr>
        <w:numId w:val="21"/>
      </w:numPr>
    </w:pPr>
  </w:style>
  <w:style w:type="paragraph" w:customStyle="1" w:styleId="DefinedTermNumber">
    <w:name w:val="Defined Term Number"/>
    <w:basedOn w:val="DefinedTermPara"/>
    <w:qFormat/>
    <w:rsid w:val="00C876DD"/>
    <w:pPr>
      <w:numPr>
        <w:ilvl w:val="1"/>
      </w:numPr>
    </w:pPr>
  </w:style>
  <w:style w:type="paragraph" w:customStyle="1" w:styleId="AdditionalTitle">
    <w:name w:val="Additional Title"/>
    <w:basedOn w:val="Paragraph"/>
    <w:qFormat/>
    <w:rsid w:val="00C876DD"/>
    <w:pPr>
      <w:jc w:val="left"/>
    </w:pPr>
    <w:rPr>
      <w:b/>
      <w:sz w:val="24"/>
    </w:rPr>
  </w:style>
  <w:style w:type="character" w:customStyle="1" w:styleId="error">
    <w:name w:val="error"/>
    <w:rsid w:val="00C876DD"/>
    <w:rPr>
      <w:rFonts w:ascii="Arial" w:eastAsia="Arial" w:hAnsi="Arial" w:cs="Arial"/>
      <w:color w:val="000000"/>
    </w:rPr>
  </w:style>
  <w:style w:type="paragraph" w:customStyle="1" w:styleId="NoNumUntitledsubclause1">
    <w:name w:val="No Num Untitled subclause 1"/>
    <w:basedOn w:val="Untitledsubclause1"/>
    <w:qFormat/>
    <w:rsid w:val="00C876DD"/>
    <w:pPr>
      <w:numPr>
        <w:ilvl w:val="0"/>
        <w:numId w:val="0"/>
      </w:numPr>
      <w:ind w:left="720"/>
    </w:pPr>
  </w:style>
  <w:style w:type="paragraph" w:customStyle="1" w:styleId="BackgroundParaClause">
    <w:name w:val="Background Para Clause"/>
    <w:basedOn w:val="Background"/>
    <w:qFormat/>
    <w:rsid w:val="00C876DD"/>
    <w:pPr>
      <w:numPr>
        <w:numId w:val="0"/>
      </w:numPr>
    </w:pPr>
  </w:style>
  <w:style w:type="paragraph" w:customStyle="1" w:styleId="BackgroundParaSubclause1">
    <w:name w:val="Background Para Subclause1"/>
    <w:basedOn w:val="BackgroundSubclause1"/>
    <w:qFormat/>
    <w:rsid w:val="00C876DD"/>
    <w:pPr>
      <w:numPr>
        <w:ilvl w:val="0"/>
        <w:numId w:val="0"/>
      </w:numPr>
      <w:ind w:left="994"/>
    </w:pPr>
    <w:rPr>
      <w:lang w:val="en-US"/>
    </w:rPr>
  </w:style>
  <w:style w:type="paragraph" w:customStyle="1" w:styleId="BackgroundParaSubclause2">
    <w:name w:val="Background Para Subclause2"/>
    <w:basedOn w:val="BackgroundSubclause2"/>
    <w:qFormat/>
    <w:rsid w:val="00C876DD"/>
    <w:pPr>
      <w:numPr>
        <w:ilvl w:val="0"/>
        <w:numId w:val="0"/>
      </w:numPr>
      <w:ind w:left="1701"/>
    </w:pPr>
    <w:rPr>
      <w:lang w:val="en-US"/>
    </w:rPr>
  </w:style>
  <w:style w:type="paragraph" w:customStyle="1" w:styleId="ClauseBulletPara">
    <w:name w:val="Clause Bullet Para"/>
    <w:basedOn w:val="ClauseBullet1"/>
    <w:qFormat/>
    <w:rsid w:val="00C876DD"/>
    <w:pPr>
      <w:numPr>
        <w:numId w:val="0"/>
      </w:numPr>
      <w:ind w:left="1080"/>
    </w:pPr>
    <w:rPr>
      <w:lang w:val="en-US"/>
    </w:rPr>
  </w:style>
  <w:style w:type="paragraph" w:customStyle="1" w:styleId="ClauseBullet2Para">
    <w:name w:val="Clause Bullet 2 Para"/>
    <w:basedOn w:val="ClauseBullet2"/>
    <w:qFormat/>
    <w:rsid w:val="00C876DD"/>
    <w:pPr>
      <w:numPr>
        <w:numId w:val="0"/>
      </w:numPr>
      <w:ind w:left="1440"/>
    </w:pPr>
    <w:rPr>
      <w:lang w:val="en-US"/>
    </w:rPr>
  </w:style>
  <w:style w:type="paragraph" w:customStyle="1" w:styleId="ACTJurisdictionCheckList">
    <w:name w:val="ACTJurisdictionCheckList"/>
    <w:basedOn w:val="Normal"/>
    <w:rsid w:val="00C876DD"/>
    <w:pPr>
      <w:spacing w:after="120" w:line="300" w:lineRule="atLeast"/>
    </w:pPr>
    <w:rPr>
      <w:b/>
      <w:sz w:val="28"/>
    </w:rPr>
  </w:style>
  <w:style w:type="paragraph" w:customStyle="1" w:styleId="JurisdictionDraftingnoteTitle">
    <w:name w:val="Jurisdiction Draftingnote Title"/>
    <w:basedOn w:val="DraftingnoteTitle"/>
    <w:qFormat/>
    <w:rsid w:val="00C876DD"/>
  </w:style>
  <w:style w:type="paragraph" w:customStyle="1" w:styleId="EmptyClausePara">
    <w:name w:val="Empty Clause Para"/>
    <w:basedOn w:val="IgnoredSpacing"/>
    <w:qFormat/>
    <w:rsid w:val="00C876DD"/>
  </w:style>
  <w:style w:type="paragraph" w:styleId="ListParagraph">
    <w:name w:val="List Paragraph"/>
    <w:basedOn w:val="Normal"/>
    <w:uiPriority w:val="34"/>
    <w:qFormat/>
    <w:rsid w:val="00C876DD"/>
    <w:pPr>
      <w:ind w:left="720"/>
      <w:contextualSpacing/>
    </w:pPr>
  </w:style>
  <w:style w:type="paragraph" w:customStyle="1" w:styleId="ScheduleTitlesubclause1">
    <w:name w:val="Schedule Title subclause1"/>
    <w:basedOn w:val="ScheduleUntitledsubclause1"/>
    <w:qFormat/>
    <w:rsid w:val="00C876DD"/>
    <w:pPr>
      <w:spacing w:before="120"/>
    </w:pPr>
    <w:rPr>
      <w:b/>
    </w:rPr>
  </w:style>
  <w:style w:type="paragraph" w:customStyle="1" w:styleId="BulletList1Pattern">
    <w:name w:val="Bullet List 1 + Pattern"/>
    <w:basedOn w:val="BulletList1"/>
    <w:qFormat/>
    <w:rsid w:val="00C876DD"/>
    <w:pPr>
      <w:shd w:val="clear" w:color="auto" w:fill="D9D9D9"/>
      <w:spacing w:after="120" w:line="240" w:lineRule="auto"/>
      <w:ind w:left="714" w:hanging="357"/>
    </w:pPr>
  </w:style>
  <w:style w:type="paragraph" w:customStyle="1" w:styleId="BulletList2Pattern">
    <w:name w:val="Bullet List 2 + Pattern"/>
    <w:basedOn w:val="BulletList2"/>
    <w:qFormat/>
    <w:rsid w:val="00C876DD"/>
    <w:pPr>
      <w:shd w:val="clear" w:color="auto" w:fill="D9D9D9"/>
      <w:ind w:left="1077"/>
    </w:pPr>
  </w:style>
  <w:style w:type="paragraph" w:customStyle="1" w:styleId="6D83DCFF8BDF479DB88C9CA683CF81C7">
    <w:name w:val="6D83DCFF8BDF479DB88C9CA683CF81C7"/>
    <w:rsid w:val="00C93E17"/>
    <w:pPr>
      <w:spacing w:after="120"/>
    </w:pPr>
    <w:rPr>
      <w:rFonts w:ascii="Arial" w:hAnsi="Arial"/>
      <w:color w:val="000000"/>
      <w:sz w:val="24"/>
      <w:szCs w:val="24"/>
      <w:lang w:val="en-US" w:eastAsia="en-US"/>
    </w:rPr>
  </w:style>
  <w:style w:type="character" w:styleId="CommentReference">
    <w:name w:val="annotation reference"/>
    <w:uiPriority w:val="99"/>
    <w:semiHidden/>
    <w:rsid w:val="00AA7E29"/>
    <w:rPr>
      <w:rFonts w:ascii="Arial" w:eastAsia="Arial" w:hAnsi="Arial" w:cs="Arial"/>
      <w:color w:val="000000"/>
      <w:sz w:val="16"/>
      <w:szCs w:val="16"/>
    </w:rPr>
  </w:style>
  <w:style w:type="paragraph" w:styleId="CommentText">
    <w:name w:val="annotation text"/>
    <w:basedOn w:val="Normal"/>
    <w:link w:val="CommentTextChar"/>
    <w:uiPriority w:val="99"/>
    <w:semiHidden/>
    <w:rsid w:val="00AA7E29"/>
    <w:pPr>
      <w:spacing w:line="240" w:lineRule="auto"/>
    </w:pPr>
    <w:rPr>
      <w:sz w:val="20"/>
      <w:szCs w:val="20"/>
    </w:rPr>
  </w:style>
  <w:style w:type="character" w:customStyle="1" w:styleId="CommentTextChar">
    <w:name w:val="Comment Text Char"/>
    <w:link w:val="CommentText"/>
    <w:uiPriority w:val="99"/>
    <w:semiHidden/>
    <w:rsid w:val="00AA7E29"/>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rsid w:val="00AA7E29"/>
    <w:rPr>
      <w:b/>
      <w:bCs/>
    </w:rPr>
  </w:style>
  <w:style w:type="character" w:customStyle="1" w:styleId="CommentSubjectChar">
    <w:name w:val="Comment Subject Char"/>
    <w:link w:val="CommentSubject"/>
    <w:uiPriority w:val="99"/>
    <w:semiHidden/>
    <w:rsid w:val="00AA7E29"/>
    <w:rPr>
      <w:rFonts w:ascii="Arial" w:eastAsia="Arial" w:hAnsi="Arial" w:cs="Arial"/>
      <w:b/>
      <w:bCs/>
      <w:color w:val="000000"/>
      <w:sz w:val="20"/>
      <w:szCs w:val="20"/>
    </w:rPr>
  </w:style>
  <w:style w:type="paragraph" w:styleId="BodyText">
    <w:name w:val="Body Text"/>
    <w:link w:val="BodyTextChar"/>
    <w:rsid w:val="000E25E3"/>
    <w:pPr>
      <w:pBdr>
        <w:top w:val="nil"/>
        <w:left w:val="nil"/>
        <w:bottom w:val="nil"/>
        <w:right w:val="nil"/>
        <w:between w:val="nil"/>
        <w:bar w:val="nil"/>
      </w:pBdr>
      <w:spacing w:before="100" w:after="100"/>
      <w:jc w:val="both"/>
    </w:pPr>
    <w:rPr>
      <w:rFonts w:ascii="Arial" w:eastAsia="Arial" w:hAnsi="Arial" w:cs="Arial"/>
      <w:color w:val="000000"/>
      <w:sz w:val="24"/>
      <w:szCs w:val="24"/>
      <w:u w:color="000000"/>
      <w:bdr w:val="nil"/>
    </w:rPr>
  </w:style>
  <w:style w:type="character" w:customStyle="1" w:styleId="BodyTextChar">
    <w:name w:val="Body Text Char"/>
    <w:link w:val="BodyText"/>
    <w:rsid w:val="000E25E3"/>
    <w:rPr>
      <w:rFonts w:ascii="Arial" w:eastAsia="Arial" w:hAnsi="Arial" w:cs="Arial"/>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1147">
      <w:bodyDiv w:val="1"/>
      <w:marLeft w:val="0"/>
      <w:marRight w:val="0"/>
      <w:marTop w:val="0"/>
      <w:marBottom w:val="0"/>
      <w:divBdr>
        <w:top w:val="none" w:sz="0" w:space="0" w:color="auto"/>
        <w:left w:val="none" w:sz="0" w:space="0" w:color="auto"/>
        <w:bottom w:val="none" w:sz="0" w:space="0" w:color="auto"/>
        <w:right w:val="none" w:sz="0" w:space="0" w:color="auto"/>
      </w:divBdr>
    </w:div>
    <w:div w:id="190579274">
      <w:bodyDiv w:val="1"/>
      <w:marLeft w:val="0"/>
      <w:marRight w:val="0"/>
      <w:marTop w:val="0"/>
      <w:marBottom w:val="0"/>
      <w:divBdr>
        <w:top w:val="none" w:sz="0" w:space="0" w:color="auto"/>
        <w:left w:val="none" w:sz="0" w:space="0" w:color="auto"/>
        <w:bottom w:val="none" w:sz="0" w:space="0" w:color="auto"/>
        <w:right w:val="none" w:sz="0" w:space="0" w:color="auto"/>
      </w:divBdr>
    </w:div>
    <w:div w:id="618151173">
      <w:bodyDiv w:val="1"/>
      <w:marLeft w:val="0"/>
      <w:marRight w:val="0"/>
      <w:marTop w:val="0"/>
      <w:marBottom w:val="0"/>
      <w:divBdr>
        <w:top w:val="none" w:sz="0" w:space="0" w:color="auto"/>
        <w:left w:val="none" w:sz="0" w:space="0" w:color="auto"/>
        <w:bottom w:val="none" w:sz="0" w:space="0" w:color="auto"/>
        <w:right w:val="none" w:sz="0" w:space="0" w:color="auto"/>
      </w:divBdr>
    </w:div>
    <w:div w:id="806823808">
      <w:bodyDiv w:val="1"/>
      <w:marLeft w:val="0"/>
      <w:marRight w:val="0"/>
      <w:marTop w:val="0"/>
      <w:marBottom w:val="0"/>
      <w:divBdr>
        <w:top w:val="none" w:sz="0" w:space="0" w:color="auto"/>
        <w:left w:val="none" w:sz="0" w:space="0" w:color="auto"/>
        <w:bottom w:val="none" w:sz="0" w:space="0" w:color="auto"/>
        <w:right w:val="none" w:sz="0" w:space="0" w:color="auto"/>
      </w:divBdr>
    </w:div>
    <w:div w:id="937447035">
      <w:bodyDiv w:val="1"/>
      <w:marLeft w:val="0"/>
      <w:marRight w:val="0"/>
      <w:marTop w:val="0"/>
      <w:marBottom w:val="0"/>
      <w:divBdr>
        <w:top w:val="none" w:sz="0" w:space="0" w:color="auto"/>
        <w:left w:val="none" w:sz="0" w:space="0" w:color="auto"/>
        <w:bottom w:val="none" w:sz="0" w:space="0" w:color="auto"/>
        <w:right w:val="none" w:sz="0" w:space="0" w:color="auto"/>
      </w:divBdr>
    </w:div>
    <w:div w:id="1072116652">
      <w:bodyDiv w:val="1"/>
      <w:marLeft w:val="0"/>
      <w:marRight w:val="0"/>
      <w:marTop w:val="0"/>
      <w:marBottom w:val="0"/>
      <w:divBdr>
        <w:top w:val="none" w:sz="0" w:space="0" w:color="auto"/>
        <w:left w:val="none" w:sz="0" w:space="0" w:color="auto"/>
        <w:bottom w:val="none" w:sz="0" w:space="0" w:color="auto"/>
        <w:right w:val="none" w:sz="0" w:space="0" w:color="auto"/>
      </w:divBdr>
    </w:div>
    <w:div w:id="1075856560">
      <w:bodyDiv w:val="1"/>
      <w:marLeft w:val="0"/>
      <w:marRight w:val="0"/>
      <w:marTop w:val="0"/>
      <w:marBottom w:val="0"/>
      <w:divBdr>
        <w:top w:val="none" w:sz="0" w:space="0" w:color="auto"/>
        <w:left w:val="none" w:sz="0" w:space="0" w:color="auto"/>
        <w:bottom w:val="none" w:sz="0" w:space="0" w:color="auto"/>
        <w:right w:val="none" w:sz="0" w:space="0" w:color="auto"/>
      </w:divBdr>
    </w:div>
    <w:div w:id="1490245338">
      <w:bodyDiv w:val="1"/>
      <w:marLeft w:val="0"/>
      <w:marRight w:val="0"/>
      <w:marTop w:val="0"/>
      <w:marBottom w:val="0"/>
      <w:divBdr>
        <w:top w:val="none" w:sz="0" w:space="0" w:color="auto"/>
        <w:left w:val="none" w:sz="0" w:space="0" w:color="auto"/>
        <w:bottom w:val="none" w:sz="0" w:space="0" w:color="auto"/>
        <w:right w:val="none" w:sz="0" w:space="0" w:color="auto"/>
      </w:divBdr>
      <w:divsChild>
        <w:div w:id="1242956709">
          <w:marLeft w:val="0"/>
          <w:marRight w:val="0"/>
          <w:marTop w:val="0"/>
          <w:marBottom w:val="0"/>
          <w:divBdr>
            <w:top w:val="none" w:sz="0" w:space="0" w:color="auto"/>
            <w:left w:val="none" w:sz="0" w:space="0" w:color="auto"/>
            <w:bottom w:val="single" w:sz="6" w:space="7" w:color="BABABA"/>
            <w:right w:val="none" w:sz="0" w:space="0" w:color="auto"/>
          </w:divBdr>
          <w:divsChild>
            <w:div w:id="743450592">
              <w:marLeft w:val="3"/>
              <w:marRight w:val="3"/>
              <w:marTop w:val="0"/>
              <w:marBottom w:val="0"/>
              <w:divBdr>
                <w:top w:val="none" w:sz="0" w:space="0" w:color="auto"/>
                <w:left w:val="none" w:sz="0" w:space="0" w:color="auto"/>
                <w:bottom w:val="none" w:sz="0" w:space="0" w:color="auto"/>
                <w:right w:val="none" w:sz="0" w:space="0" w:color="auto"/>
              </w:divBdr>
              <w:divsChild>
                <w:div w:id="290331374">
                  <w:marLeft w:val="0"/>
                  <w:marRight w:val="0"/>
                  <w:marTop w:val="0"/>
                  <w:marBottom w:val="0"/>
                  <w:divBdr>
                    <w:top w:val="none" w:sz="0" w:space="0" w:color="auto"/>
                    <w:left w:val="none" w:sz="0" w:space="0" w:color="auto"/>
                    <w:bottom w:val="none" w:sz="0" w:space="0" w:color="auto"/>
                    <w:right w:val="none" w:sz="0" w:space="0" w:color="auto"/>
                  </w:divBdr>
                  <w:divsChild>
                    <w:div w:id="2123649330">
                      <w:marLeft w:val="0"/>
                      <w:marRight w:val="0"/>
                      <w:marTop w:val="0"/>
                      <w:marBottom w:val="0"/>
                      <w:divBdr>
                        <w:top w:val="none" w:sz="0" w:space="0" w:color="auto"/>
                        <w:left w:val="none" w:sz="0" w:space="0" w:color="auto"/>
                        <w:bottom w:val="none" w:sz="0" w:space="0" w:color="auto"/>
                        <w:right w:val="none" w:sz="0" w:space="0" w:color="auto"/>
                      </w:divBdr>
                      <w:divsChild>
                        <w:div w:id="1922257215">
                          <w:marLeft w:val="0"/>
                          <w:marRight w:val="0"/>
                          <w:marTop w:val="0"/>
                          <w:marBottom w:val="0"/>
                          <w:divBdr>
                            <w:top w:val="single" w:sz="2" w:space="12" w:color="BABABA"/>
                            <w:left w:val="single" w:sz="6" w:space="12" w:color="BABABA"/>
                            <w:bottom w:val="single" w:sz="6" w:space="12" w:color="BABABA"/>
                            <w:right w:val="single" w:sz="6" w:space="12" w:color="BABABA"/>
                          </w:divBdr>
                          <w:divsChild>
                            <w:div w:id="1475487656">
                              <w:marLeft w:val="0"/>
                              <w:marRight w:val="0"/>
                              <w:marTop w:val="0"/>
                              <w:marBottom w:val="0"/>
                              <w:divBdr>
                                <w:top w:val="none" w:sz="0" w:space="0" w:color="auto"/>
                                <w:left w:val="none" w:sz="0" w:space="0" w:color="auto"/>
                                <w:bottom w:val="none" w:sz="0" w:space="0" w:color="auto"/>
                                <w:right w:val="none" w:sz="0" w:space="0" w:color="auto"/>
                              </w:divBdr>
                              <w:divsChild>
                                <w:div w:id="841818684">
                                  <w:marLeft w:val="0"/>
                                  <w:marRight w:val="0"/>
                                  <w:marTop w:val="0"/>
                                  <w:marBottom w:val="0"/>
                                  <w:divBdr>
                                    <w:top w:val="none" w:sz="0" w:space="0" w:color="auto"/>
                                    <w:left w:val="none" w:sz="0" w:space="0" w:color="auto"/>
                                    <w:bottom w:val="none" w:sz="0" w:space="0" w:color="auto"/>
                                    <w:right w:val="none" w:sz="0" w:space="0" w:color="auto"/>
                                  </w:divBdr>
                                  <w:divsChild>
                                    <w:div w:id="1853958472">
                                      <w:marLeft w:val="0"/>
                                      <w:marRight w:val="0"/>
                                      <w:marTop w:val="0"/>
                                      <w:marBottom w:val="0"/>
                                      <w:divBdr>
                                        <w:top w:val="single" w:sz="2" w:space="0" w:color="BABABA"/>
                                        <w:left w:val="single" w:sz="2" w:space="0" w:color="BABABA"/>
                                        <w:bottom w:val="single" w:sz="2" w:space="0" w:color="BABABA"/>
                                        <w:right w:val="single" w:sz="2" w:space="0" w:color="BABABA"/>
                                      </w:divBdr>
                                      <w:divsChild>
                                        <w:div w:id="1723285631">
                                          <w:marLeft w:val="0"/>
                                          <w:marRight w:val="0"/>
                                          <w:marTop w:val="0"/>
                                          <w:marBottom w:val="0"/>
                                          <w:divBdr>
                                            <w:top w:val="none" w:sz="0" w:space="0" w:color="auto"/>
                                            <w:left w:val="none" w:sz="0" w:space="0" w:color="auto"/>
                                            <w:bottom w:val="none" w:sz="0" w:space="0" w:color="auto"/>
                                            <w:right w:val="none" w:sz="0" w:space="0" w:color="auto"/>
                                          </w:divBdr>
                                          <w:divsChild>
                                            <w:div w:id="893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dm:cachedDataManifest xmlns:cdm="http://schemas.microsoft.com/2004/VisualStudio/Tools/Applications/CachedDataManifest.xsd" cdm:revision="1"/>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electedStyle="\APA.XSL" StyleName="APA"/>
</file>

<file path=customXml/item4.xml><?xml version="1.0" encoding="utf-8"?>
<n-document xmlns:xsd="http://www.w3.org/2001/XMLSchema" xmlns:xsi="http://www.w3.org/2001/XMLSchema-instance" guid="0" synced="true" validated="true">
  <n-docbody>
    <standard.doc precedenttype="agreement">
      <prelim>
        <product.name>product.name0</product.name>
        <title>GDPR Privacy notice for employees, workers and contractors (UK)</title>
        <author>
          <link href="https://uk.practicallaw.thomsonreuters.com/Browse/Home/About/OurteamEmployment" style="ACTLinkURL">
            <ital>Practical Law Employment</ital>
          </link>
        </author>
        <resource.type>Standard documents</resource.type>
        <juris>juris0</juris>
        <juris>juris1</juris>
      </prelim>
      <abstract>
        <para>
          <paratext>A privacy notice for employees, workers and contractors that complies with the EU General Data Protection Regulation (GDPR). Employers can use this notice to notify employees, workers and contractors about the personal data that the employer holds relating to them, how they can expect their personal data to be used and for what purposes.</paratext>
        </para>
      </abstract>
      <toc.identifier hasToc="true"/>
      <body>
        <drafting.note id="a389551" jurisdiction="">
          <head align="left" preservecase="true">
            <headtext>About this document</headtext>
          </head>
          <division id="a000001" level="1">
            <para>
              <paratext>
                The 
                <link href="6-631-1875" style="ACTLinkPLCtoPLC">
                  <ital>General Data Protection Regulation ((EU) 2016/679)</ital>
                </link>
                 (GDPR), adopted in May 2016, replaces the Data Protection Directive (
                <ital>95/46/EC</ital>
                ) and will be directly applicable in all 
                <link href="1-107-6833" style="ACTLinkPLCtoPLC">
                  <bold>
                    <ital>member states</ital>
                  </bold>
                </link>
                 without the need for transposition on 25 May 2018.
              </paratext>
            </para>
            <para>
              <paratext>The GDPR requires employers to notify data subjects about their personal data handling practices through a privacy notice, at the time such data is collected. A privacy notice informs data subjects about how the organisation collects, uses, stores, transfers and secures personal data. This notice is stated to apply to employees, workers and contractors but may be adapted to reflect the staffing practices of the organisation. Some employers may wish to have a separate privacy notice for certain kinds of staff where separate and special considerations apply to them (for example, volunteers or interns).</paratext>
            </para>
            <para>
              <paratext>Training should be provided to staff who handle personal data across the organisation in relation to the new requirements under the GDPR and the issues arising in this standard document.</paratext>
            </para>
            <para>
              <paratext>At the recruitment stage, a short-form privacy notice should be issued to candidates in relation to the processing of their personal data for the purposes of the recruitment exercise (PL Employment will be drafting one in due course). It may be appropriate for the employer to issue separate short-form privacy notices periodically, setting out why data is being processed on a particular occasion and reminding the individual to refer to the contents of this notice.</paratext>
            </para>
            <para>
              <paratext>
                Before using this privacy notice, it is essential that the employer conducts a detailed data protection audit to ensure it understands how it uses, or plans to use, the personal data of employees, workers and contractors. For example, the employer must identify the types of personal data held, how it is collected and stored, any third parties to whom it is transferred and any cross-border transfers. The results of the audit should be documented. For further information, see 
                <link href="w-010-7923" style="ACTLinkPLCtoPLC">
                  <ital>Checklist, GDPR compliance for employers: Employee data audit</ital>
                </link>
                .
              </paratext>
            </para>
            <para>
              <paratext>The privacy notice must also be tailored on a case-by-case basis for each organisation, in the light of the results of the data protection audit. No template notice can be appropriate for all employers. This standard document suggests various examples under each heading, but employers must ensure that each part of the privacy notice accurately reflects actual or anticipated personal data collection and handling practices.</paratext>
            </para>
            <division id="a760587" level="2">
              <head align="left" preservecase="true">
                <headtext>Format of this notice</headtext>
              </head>
              <para>
                <paratext>
                  Under Article 13 of the GDPR, an employer is required to provide the individual with certain information at the point their information is collected (see 
                  <internal.reference refid="a935228">Drafting note, Provision of information to data subjects</internal.reference>
                  ). All information provided must be concise, transparent, easily accessible and given in plain language (
                  <ital>Article 12, GDPR</ital>
                  ). It remains to be seen how this presentational requirement will be interpreted by the Information Commissioner. There is an inherent tension between the requirement to provide extensive information to individuals and the conciseness requirement. With this in mind, employers may wish to adapt this notice for internal use on their intranet (if they have one), providing links to certain sections which lend themselves to being clicked through to rather than setting everything out in full in one document. For example, rather than providing a list of personal information as set out below, an extended list might instead be provided via a link. The same approach might be taken in respect of the list of purposes for which personal information might be processed and, where considered appropriate, in respect of other sections.
                </paratext>
              </para>
            </division>
            <division id="a935228" level="2">
              <head align="left" preservecase="true">
                <headtext>Provision of information to data subjects</headtext>
              </head>
              <para>
                <paratext>The GDPR requires the employer to provide the data subject with the following information:</paratext>
              </para>
              <list type="bulleted">
                <list.item>
                  <para>
                    <paratext>The data controller's identity (meaning the name of the legal entity) and contact details and its representative, if any.</paratext>
                  </para>
                </list.item>
                <list.item>
                  <para>
                    <paratext>The contact details of the data protection officer (DPO), where applicable.</paratext>
                  </para>
                </list.item>
                <list.item>
                  <para>
                    <paratext>The intended purposes of, and the legal basis for, the processing.</paratext>
                  </para>
                </list.item>
                <list.item>
                  <para>
                    <paratext>
                      Where the processing is based on Article 6(1)(f) of the GDPR (legitimate interest), the legitimate interest pursued by the employer or by a third party (see 
                      <internal.reference refid="a242276">Drafting note, Use of personal information</internal.reference>
                      ).
                    </paratext>
                  </para>
                </list.item>
                <list.item>
                  <para>
                    <paratext>The recipients or categories of recipients of the personal data, if any.</paratext>
                  </para>
                </list.item>
                <list.item>
                  <para>
                    <paratext>Where applicable, the fact that the employer intends to transfer the personal data to a recipient in a country outside the EU or an international organisation, and the existence or absence of a Commission adequacy decision or information about the appropriate or suitable safeguards adduced to secure the data and the means to obtain a copy of them or where they have been made available.</paratext>
                  </para>
                </list.item>
              </list>
              <para>
                <paratext>
                  (
                  <ital>Article 13(1)</ital>
                  .)
                </paratext>
              </para>
              <para>
                <paratext>The employer must also provide the data subject with the following information to ensure fair and transparent processing:</paratext>
              </para>
              <list type="bulleted">
                <list.item>
                  <para>
                    <paratext>The period for which the personal data will be stored, or the criteria used to determine that period.</paratext>
                  </para>
                </list.item>
                <list.item>
                  <para>
                    <paratext>The existence of the individual's:</paratext>
                  </para>
                  <list type="bulleted">
                    <list.item>
                      <para>
                        <paratext>
                          right of access (
                          <ital>Article 15, GDPR</ital>
                          );
                        </paratext>
                      </para>
                    </list.item>
                    <list.item>
                      <para>
                        <paratext>
                          right to rectification (
                          <ital>Article 16</ital>
                          );
                        </paratext>
                      </para>
                    </list.item>
                    <list.item>
                      <para>
                        <paratext>
                          right to erasure (
                          <ital>Article 17</ital>
                          );
                        </paratext>
                      </para>
                    </list.item>
                    <list.item>
                      <para>
                        <paratext>
                          right to restriction of processing (
                          <ital>Article 18</ital>
                          );
                        </paratext>
                      </para>
                    </list.item>
                    <list.item>
                      <para>
                        <paratext>
                          right to object to processing (
                          <ital>Article 21</ital>
                          ); and
                        </paratext>
                      </para>
                    </list.item>
                    <list.item>
                      <para>
                        <paratext>
                          right to data portability (
                          <ital>Article 20</ital>
                          ).
                        </paratext>
                      </para>
                    </list.item>
                  </list>
                </list.item>
              </list>
              <list type="bulleted">
                <list.item>
                  <para>
                    <paratext>Where processing is based on the individual's consent, the right to withdraw that consent at any time.</paratext>
                  </para>
                </list.item>
                <list.item>
                  <para>
                    <paratext>The individual's right to lodge a complaint with the supervisory authority.</paratext>
                  </para>
                </list.item>
                <list.item>
                  <para>
                    <paratext>Whether the provision of personal data is a statutory or contractual requirement or a requirement necessary to enter into a contract. The individual must be informed about any obligation to provide personal data and of the consequences of a failure to do so.</paratext>
                  </para>
                </list.item>
                <list.item>
                  <para>
                    <paratext>The existence of automated decision-making or profiling and meaningful information about the logic involved, as well as the significance and the envisaged consequences of such processing for the individual.</paratext>
                  </para>
                </list.item>
              </list>
              <para>
                <paratext>
                  (
                  <ital>Article 13(2)</ital>
                  .)
                </paratext>
              </para>
              <para>
                <paratext>
                  For details of the information to be provided to individuals when personal data is collected from a third party, see 
                  <internal.reference refid="a441344">Drafting note, How is your personal information collected?</internal.reference>
                  .
                </paratext>
              </para>
              <para>
                <paratext>
                  The ICO has issued guidance on drafting privacy notices, which has been updated to refer to the GDPR (see 
                  <link href="w-011-5546" style="ACTLinkPLCtoPLC">
                    <ital>ICO guidance: Privacy notices, transparency and control</ital>
                  </link>
                  ).
                </paratext>
              </para>
            </division>
            <division id="a504818" level="2">
              <head align="left" preservecase="true">
                <headtext>UK-specific rules</headtext>
              </head>
              <para>
                <paratext>Article 6(2) of the GDPR grants member states a limited right to maintain or introduce more specific provisions to adapt the application of the GDPR with regard to data processing for:</paratext>
              </para>
              <list type="bulleted">
                <list.item>
                  <para>
                    <paratext>
                      Compliance with a legal obligation (
                      <ital>Article 6(1)(c)</ital>
                      ).
                    </paratext>
                  </para>
                </list.item>
                <list.item>
                  <para>
                    <paratext>
                      The performance of a task carried out in the public interest or in the exercise of official authority (
                      <ital>Article 6(1)(e)</ital>
                      ).
                    </paratext>
                  </para>
                </list.item>
              </list>
              <para>
                <paratext>
                  The UK has done so by means of the Data Protection Bill (DPB). For more information on the DPB, see 
                  <link href="w-010-3418" style="ACTLinkPLCtoPLC">
                    <ital>Practice note, The GDPR and Data Protection Bill: employer obligations</ital>
                  </link>
                   and 
                  <link href="w-010-6097" style="ACTLinkPLCtoPLC">
                    <ital>Data Protection Bill tracker</ital>
                  </link>
                  .
                </paratext>
              </para>
              <para>
                <paratext>Organisations with employees, workers and contractors in multiple jurisdictions face compliance challenges when trying to implement staff privacy notices as part of a global privacy compliance program. Multi-national employers must choose between implementing a single, global privacy notice for its workforce or jurisdiction-specific or regional privacy notices, taking into account the fact that even within the EU member states are likely to have varying rules on data protection.</paratext>
              </para>
              <para>
                <paratext>
                  For more information on the legal framework governing employee personal data under the GDPR, see 
                  <link href="w-007-9580" style="ACTLinkPLCtoPLC">
                    <ital>Practice Note, Overview of EU General Data Protection Regulation</ital>
                  </link>
                   and 
                  <link href="w-010-7787" style="ACTLinkPLCtoPLC">
                    <ital>Toolkit, Data protection in employment under the GDPR and DPB</ital>
                  </link>
                  .
                </paratext>
              </para>
            </division>
          </division>
        </drafting.note>
        <preamble/>
        <operative xrefname="paragraph">
          <head align="left" preservecase="true">
            <headtext/>
          </head>
          <clause id="a371983" numbering="none">
            <head align="left" preservecase="true">
              <headtext>What is the purpose of this document?</headtext>
            </head>
            <drafting.note id="a226759" jurisdiction="">
              <head align="left" preservecase="true">
                <headtext>What is the purpose of this document?</headtext>
              </head>
              <division id="a000002" level="1">
                <para>
                  <paratext>
                    This privacy notice applies to current and former employees, workers and contractors. It makes the individual aware of how and why their personal data will be used. It provides the individual with certain information that must be provided under the GDPR (see 
                    <internal.reference refid="a935228">Drafting note, Provision of information to data subjects</internal.reference>
                    ).
                  </paratext>
                </para>
                <para>
                  <paratext>A separate privacy notice should be provided to applicants at the recruitment stage. If applicants are not successful, then the majority of the contents of this privacy notice will not be applicable.</paratext>
                </para>
                <para>
                  <paratext>It may be appropriate for the employer to issue separate short-form privacy notices periodically, setting out why data is being processed on the particular occasion and reminding the individual to refer to the contents of this notice.</paratext>
                </para>
              </division>
            </drafting.note>
          </clause>
          <clause id="a000003">
            <para>
              <paratext>
                <table frame="all" pgwide="1">
                  <tgroup cols="1">
                    <colspec colname="1" colnum="1" colwidth="100"/>
                    <tbody>
                      <row>
                        <entry valign="top">
                          <para align="left">
                            <paratext>[EMPLOYER] is committed to protecting the privacy and security of your personal information.</paratext>
                          </para>
                          <para align="left">
                            <paratext>This privacy notice describes how we collect and use personal information about you during and after your working relationship with us, in accordance with the General Data Protection Regulation (GDPR).</paratext>
                          </para>
                          <para align="left">
                            <paratext>It applies to all employees, workers and contractors.</paratext>
                          </para>
                        </entry>
                      </row>
                    </tbody>
                  </tgroup>
                </table>
              </paratext>
            </para>
            <para>
              <paratext>[EMPLOYER] is a "data controller". This means that we are responsible for deciding how we hold and use personal information about you. We are required under data protection legislation to notify you of the information contained in this privacy notice.</paratext>
            </para>
            <para>
              <paratext>This notice applies to current and former employees, workers and contractors. This notice does not form part of any contract of employment or other contract to provide services. We may update this notice at any time.</paratext>
            </para>
            <para>
              <paratext>It is important that you read this notice, together with any other privacy notice we may provide on specific occasions when we are collecting or processing personal information about you, so that you are aware of how and why we are using such information.</paratext>
            </para>
          </clause>
          <clause id="a371450" numbering="none">
            <head align="left" preservecase="true">
              <headtext>Data protection principles</headtext>
            </head>
            <drafting.note id="a644374" jurisdiction="">
              <head align="left" preservecase="true">
                <headtext>Data protection principles</headtext>
              </head>
              <division id="a000004" level="1">
                <para>
                  <paratext>
                    The GDPR sets out principles with which data controllers and processors must comply when processing personal data (
                    <ital>Article 5</ital>
                    ). These principles form the core of the obligations of the data controller and will usually form the basis of any claim that a data controller has not complied with its statutory duties. For further information, see 
                    <link anchor="a765087" href="w-007-9580" style="ACTLinkPLCtoPLC">
                      <ital>Practice note, Overview of EU General Data Protection Regulation: Data protection principles</ital>
                    </link>
                    .
                  </paratext>
                </para>
              </division>
            </drafting.note>
            <para>
              <paratext>
                <table frame="all" pgwide="1">
                  <tgroup cols="1">
                    <colspec colname="1" colnum="1" colwidth="100"/>
                    <tbody>
                      <row>
                        <entry valign="top">
                          <para align="left">
                            <paratext>We will comply with data protection law. This says that the personal information we hold about you must be:</paratext>
                          </para>
                          <para align="left">
                            <paratext>1. Used lawfully, fairly and in a transparent way.</paratext>
                          </para>
                          <para align="left">
                            <paratext>2. Collected only for valid purposes that we have clearly explained to you and not used in any way that is incompatible with those purposes.</paratext>
                          </para>
                          <para align="left">
                            <paratext>3. Relevant to the purposes we have told you about and limited only to those purposes.</paratext>
                          </para>
                          <para align="left">
                            <paratext>4. Accurate and kept up to date.</paratext>
                          </para>
                          <para align="left">
                            <paratext>5. Kept only as long as necessary for the purposes we have told you about.</paratext>
                          </para>
                          <para align="left">
                            <paratext>6. Kept securely.</paratext>
                          </para>
                        </entry>
                      </row>
                    </tbody>
                  </tgroup>
                </table>
              </paratext>
            </para>
          </clause>
          <clause id="a486023" numbering="none">
            <head align="left" preservecase="true">
              <headtext>The kind of information we hold about you</headtext>
            </head>
            <drafting.note id="a828465" jurisdiction="">
              <head align="left" preservecase="true">
                <headtext>Collecting personal data</headtext>
              </head>
              <division id="a000005" level="1">
                <para>
                  <paratext>
                    The GDPR defines personal data as "any information relating to a data subject" (
                    <ital>Article 4(1)</ital>
                    ).
                  </paratext>
                </para>
                <para>
                  <paratext>A data subject is the identified or identifiable person to whom the personal data relates and, in relation to this document, is the employee, worker or contractor.</paratext>
                </para>
                <para>
                  <paratext>Employers should include a broad definition of personal data in their privacy notices and identify any categories of data that do not constitute personal data so that these can be excluded. For example, anonymous data, or data where the identity of the individual has been irretrievably removed, would not be considered personal data.</paratext>
                </para>
                <para>
                  <paratext>The categories of data included in this privacy notice provide examples only and are not intended to be an exhaustive list of all of the categories of personal data that an employer may collect. Employers must tailor the categories of personal data listed to reflect their actual data collection practices (based on the results of their data protection audit).</paratext>
                </para>
              </division>
            </drafting.note>
            <para>
              <paratext>
                <table frame="all" pgwide="1">
                  <tgroup cols="1">
                    <colspec colname="1" colnum="1" colwidth="100"/>
                    <tbody>
                      <row>
                        <entry valign="top">
                          <para align="left">
                            <paratext>Personal data, or personal information, means any information about an individual from which that person can be identified. It does not include data where the identity has been removed (anonymous data).</paratext>
                          </para>
                          <para align="left">
                            <paratext>There are "special categories" of more sensitive personal data which require a higher level of protection.</paratext>
                          </para>
                        </entry>
                      </row>
                    </tbody>
                  </tgroup>
                </table>
              </paratext>
            </para>
            <para>
              <paratext>We may collect, store, and use the following categories of personal information about you:</paratext>
            </para>
            <list type="bulleted">
              <list.item>
                <para>
                  <paratext>[Personal contact details such as name, title, addresses, telephone numbers, and personal email addresses.]</paratext>
                </para>
              </list.item>
              <list.item>
                <para>
                  <paratext>[Date of birth.]</paratext>
                </para>
              </list.item>
              <list.item>
                <para>
                  <paratext>[Gender.]</paratext>
                </para>
              </list.item>
              <list.item>
                <para>
                  <paratext>[Marital status and dependants.]</paratext>
                </para>
              </list.item>
              <list.item>
                <para>
                  <paratext>[Next of kin and emergency contact information.]</paratext>
                </para>
              </list.item>
              <list.item>
                <para>
                  <paratext>[National Insurance number.]</paratext>
                </para>
              </list.item>
              <list.item>
                <para>
                  <paratext>[Bank account details, payroll records and tax status information.]</paratext>
                </para>
              </list.item>
              <list.item>
                <para>
                  <paratext>[Salary, annual leave, pension and benefits information.]</paratext>
                </para>
              </list.item>
              <list.item>
                <para>
                  <paratext>[Start date.]</paratext>
                </para>
              </list.item>
              <list.item>
                <para>
                  <paratext>[Location of employment or workplace.]</paratext>
                </para>
              </list.item>
              <list.item>
                <para>
                  <paratext>[Copy of driving licence.]</paratext>
                </para>
              </list.item>
              <list.item>
                <para>
                  <paratext>[Recruitment information (including copies of right to work documentation, references and other information included in a CV or cover letter or as part of the application process).]</paratext>
                </para>
              </list.item>
              <list.item>
                <para>
                  <paratext>[Employment records (including job titles, work history, working hours, training records and professional memberships).]</paratext>
                </para>
              </list.item>
              <list.item>
                <para>
                  <paratext>[Compensation history.]</paratext>
                </para>
              </list.item>
              <list.item>
                <para>
                  <paratext>[Performance information.]</paratext>
                </para>
              </list.item>
              <list.item>
                <para>
                  <paratext>[Disciplinary and grievance information.]</paratext>
                </para>
              </list.item>
              <list.item>
                <para>
                  <paratext>[CCTV footage and other information obtained through electronic means such as swipecard records.]</paratext>
                </para>
              </list.item>
              <list.item>
                <para>
                  <paratext>[Information about your use of our information and communications systems.]</paratext>
                </para>
              </list.item>
              <list.item>
                <para>
                  <paratext>[Photographs.]</paratext>
                </para>
              </list.item>
            </list>
            <para>
              <paratext>We may also collect, store and use the following "special categories" of more sensitive personal information:</paratext>
            </para>
            <list type="bulleted">
              <list.item>
                <para>
                  <paratext>[Information about your race or ethnicity, religious beliefs, sexual orientation and political opinions.]</paratext>
                </para>
              </list.item>
              <list.item>
                <para>
                  <paratext>[Trade union membership.]</paratext>
                </para>
              </list.item>
              <list.item>
                <para>
                  <paratext>[Information about your health, including any medical condition, health and sickness records.]</paratext>
                </para>
              </list.item>
              <list.item>
                <para>
                  <paratext>[Genetic information and biometric data.]</paratext>
                </para>
              </list.item>
              <list.item>
                <para>
                  <paratext>[Information about criminal convictions and offences.]</paratext>
                </para>
              </list.item>
            </list>
          </clause>
          <clause id="a263888" numbering="none">
            <head align="left" preservecase="true">
              <headtext>How is your personal information collected?</headtext>
            </head>
            <drafting.note id="a441344" jurisdiction="">
              <head align="left" preservecase="true">
                <headtext>How is your personal information collected?</headtext>
              </head>
              <division id="a000006" level="1">
                <para>
                  <paratext>Organisations should ensure that any personal data collected from third parties is listed here.</paratext>
                </para>
                <para>
                  <paratext>
                    Additional notification requirements apply to personal data collected from parties other than the individual directly (
                    <ital>Article 14(1), GDPR</ital>
                    ). These mirror the notification requirements in respect of data collected directly from the employee (see 
                    <internal.reference refid="a935228">Drafting note, Provision of information to data subjects</internal.reference>
                    ), save that the following information must also be notified:
                  </paratext>
                </para>
                <list type="bulleted">
                  <list.item>
                    <para>
                      <paratext>The categories of personal data concerned.</paratext>
                    </para>
                  </list.item>
                  <list.item>
                    <para>
                      <paratext>The source of the personal data and, if applicable, whether it came from publicly accessible sources.</paratext>
                    </para>
                  </list.item>
                </list>
                <para>
                  <paratext>This information must be provided to the individual within a reasonable period after obtaining the data but at the latest within one month. However, if the personal data is to be used for communication with the individual before such time, the information must be provided at the latest at the time of the first communication with them. If the personal data is to be disclosed to another recipient, the information must be provided to the individual before such disclosure takes place.</paratext>
                </para>
                <para>
                  <paratext>This privacy notice should be tailored to ensure that it refers to all sources of personal data other than the individuals themselves and, where possible, the notice should include the information set out in the two bullet points above. If this is not possible in the privacy notice itself, a separate notification must be given to the individual at the appropriate time.</paratext>
                </para>
              </division>
            </drafting.note>
            <para>
              <paratext>We typically collect personal information about employees, workers and contactors 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 [LIST OTHERS].</paratext>
            </para>
            <para>
              <paratext>We will collect additional personal information in the course of job-related activities throughout the period of you working for us.</paratext>
            </para>
          </clause>
          <clause id="a599198" numbering="none">
            <head align="left" preservecase="true">
              <headtext>How we will use information about you</headtext>
            </head>
            <drafting.note id="a242276" jurisdiction="">
              <head align="left" preservecase="true">
                <headtext>How we will use information about you</headtext>
              </head>
              <division id="a000007" level="1">
                <division id="a565247" level="2">
                  <head align="left" preservecase="true">
                    <headtext>Lawful basis for processing</headtext>
                  </head>
                  <para>
                    <paratext>The suggested uses of personal data included in this privacy notice are examples and are not intended to be an exhaustive list of all of the reasons an employer may process personal data. The employer should tailor the list to reflect its practices. An employer which bases personal data processing on its own legitimate interests must identify the legitimate interests in the privacy notice.</paratext>
                  </para>
                  <para>
                    <paratext>
                      The GDPR requires a data controller to justify the processing of personal data before it will be considered lawful under Article 5(1)(a) (see 
                      <internal.reference refid="a644374">Drafting note, Data Protection principles</internal.reference>
                      ).
                    </paratext>
                  </para>
                  <para>
                    <paratext>An employer must only process personal data on the basis of one or more of the following legal grounds:</paratext>
                  </para>
                  <list type="bulleted">
                    <list.item>
                      <para>
                        <paratext>
                          The individual has given their consent to the processing of their data for one or more specific purposes (
                          <ital>Article 6(1)(a)</ital>
                          ). However, the ICO's 
                          <link href="https://ico.org.uk/about-the-ico/ico-and-stakeholder-consultations/gdpr-consent-guidance/" style="ACTLinkURL">
                            <ital>draft guidance on consent</ital>
                          </link>
                           indicates that employers will find it difficult to rely on consent in the employment context. For further information on consent, see 
                          <link anchor="a872936" href="w-010-3418" style="ACTLinkPLCtoPLC">
                            <ital>Practice notes, The GDPR and Data Protection Bill: employer obligations: Employee consent</ital>
                          </link>
                           and 
                          <link anchor="a549968" href="w-007-9580" style="ACTLinkPLCtoPLC">
                            <ital>Overview of EU General Data Protection Regulation: Consent requirements</ital>
                          </link>
                          .
                        </paratext>
                      </para>
                    </list.item>
                    <list.item>
                      <para>
                        <paratext>
                          It is necessary for entering into or performing a contract with the individual (
                          <ital>Article 6(1)(b)</ital>
                          ).
                        </paratext>
                      </para>
                    </list.item>
                    <list.item>
                      <para>
                        <paratext>
                          It is necessary for compliance with a legal obligation to which the data controller is subject (
                          <ital>Article 6(1)(c)</ital>
                          ).
                        </paratext>
                      </para>
                    </list.item>
                    <list.item>
                      <para>
                        <paratext>
                          It is necessary to protect the vital interests of the individual or another person (
                          <ital>Article 6(1)(d)</ital>
                          ).
                        </paratext>
                      </para>
                    </list.item>
                    <list.item>
                      <para>
                        <paratext>
                          It is necessary for the performance of a task carried out in the public interest or in the exercise of official authority vested in the employer (
                          <ital>Article 6(1)(e)</ital>
                          ).
                        </paratext>
                      </para>
                    </list.item>
                    <list.item>
                      <para>
                        <paratext>
                          It is necessary for the purposes of legitimate interests pursued by the employer or by a third party, except where these interests are overridden by the interests or the fundamental rights and freedoms of the individual which require protection of personal data (
                          <ital>Article 6(1)(f)</ital>
                          ).
                        </paratext>
                      </para>
                    </list.item>
                  </list>
                </division>
                <division id="a404722" level="2">
                  <head align="left" preservecase="true">
                    <headtext>Matching categories of personal data with processing grounds</headtext>
                  </head>
                  <para>
                    <paratext>This notice sets out (suggested) situations in the employment or working lifecycle in which personal information will be processed. It is likely that strict compliance with the GDPR requires each category of personal data used in the lifecycle to be matched with a particular processing purpose or purposes. It remains to be seen what view the ICO will take of a privacy notice which sets out processing grounds in more general terms. It is an option for the employer to set out the correlation between the personal information and the purpose or purposes by using asterisks within this notice. One type of personal data may be processed for more than one purpose and where this occurs, this should be made clear.</paratext>
                  </para>
                  <para>
                    <paratext>
                      For more information on personal data processing under the GDPR, see 
                      <link href="w-007-9580" style="ACTLinkPLCtoPLC">
                        <ital>Practice note, Overview of EU General Data Protection Regulation</ital>
                      </link>
                      .
                    </paratext>
                  </para>
                </division>
                <division id="a115691" level="2">
                  <head align="left" preservecase="true">
                    <headtext>Change of purpose</headtext>
                  </head>
                  <para>
                    <paratext>
                      If the employer wants to use personal data for new or different purposes that are not compatible with the original purposes of use, the employer will need to consider whether there is a lawful basis for the processing for the new purpose (
                      <ital>Article 13(4), GDPR</ital>
                      ).
                    </paratext>
                  </para>
                  <para>
                    <paratext>
                      As a general rule under the GDPR, the purpose limitation principle binds the employer to the specified, explicit and legitimate purposes notified to the individual on collection of the personal data (
                      <ital>Article 5(1)(b)</ital>
                      ).
                    </paratext>
                  </para>
                  <para>
                    <paratext>Organisations may process personal data for purposes other than those for which the data was initially collected where either:</paratext>
                  </para>
                  <list type="bulleted">
                    <list.item>
                      <para>
                        <paratext>
                          They can identify another legal basis for personal data processing under Article 6(1) (see 
                          <internal.reference refid="a242276">Drafting note, How we will use information about you</internal.reference>
                          ).
                        </paratext>
                      </para>
                    </list.item>
                    <list.item>
                      <para>
                        <paratext>The processing is compatible with the original purposes of use.</paratext>
                      </para>
                    </list.item>
                  </list>
                  <para>
                    <paratext>When ascertaining whether a purpose of further processing is compatible with the one for which the data was originally collected, employers must take into account the following non-exhaustive list of criteria:</paratext>
                  </para>
                  <list type="bulleted">
                    <list.item>
                      <para>
                        <paratext>Any link between the purposes for which the personal data has been collected and the purposes of the intended further processing.</paratext>
                      </para>
                    </list.item>
                    <list.item>
                      <para>
                        <paratext>The context in which the personal data has been collected, in particular regarding the relationship between the individual and the employer.</paratext>
                      </para>
                    </list.item>
                    <list.item>
                      <para>
                        <paratext>The nature of the personal data, in particular whether special categories of personal data are processed, or whether personal data related to criminal convictions and offences is processed.</paratext>
                      </para>
                    </list.item>
                    <list.item>
                      <para>
                        <paratext>The possible consequences of the intended further processing for individuals.</paratext>
                      </para>
                    </list.item>
                    <list.item>
                      <para>
                        <paratext>The existence of appropriate safeguards, which may include encryption or pseudonymisation.</paratext>
                      </para>
                    </list.item>
                  </list>
                  <para>
                    <paratext>
                      (
                      <ital>Article 6(4)</ital>
                      .)
                    </paratext>
                  </para>
                  <para>
                    <paratext>The GDPR includes two notable exceptions that permit further processing where the new processing activity is incompatible with that original purpose, namely:</paratext>
                  </para>
                  <list type="bulleted">
                    <list.item>
                      <para>
                        <paratext>
                          Further processing with the individual's consent (
                          <ital>Article 6(4)</ital>
                          ).
                        </paratext>
                      </para>
                    </list.item>
                    <list.item>
                      <para>
                        <paratext>
                          Further processing on the basis of EU or domestic law which constitutes a necessary and proportionate measure in a democratic society to safeguard the objectives referred to in Article 23(1), which include national security (
                          <ital>Article 6(4)</ital>
                          ) (see 
                          <link anchor="a522843" href="w-007-9580" style="ACTLinkPLCtoPLC">
                            <ital>Practice note, Overview of EU General Data Protection Regulation: National derogations</ital>
                          </link>
                          ).
                        </paratext>
                      </para>
                    </list.item>
                  </list>
                  <para>
                    <paratext>
                      If an employer wants to use previously collected data for a new or different purpose that is unrelated to the original purpose, in most circumstances, it must provide a revised notice to individuals (
                      <ital>Article 13(3)</ital>
                      ).
                    </paratext>
                  </para>
                </division>
              </division>
            </drafting.note>
            <para>
              <paratext>
                <table frame="all" pgwide="1">
                  <tgroup cols="1">
                    <colspec colname="1" colnum="1" colwidth="100"/>
                    <tbody>
                      <row>
                        <entry valign="top">
                          <para align="left">
                            <paratext>We will only use your personal information when the law allows us to. Most commonly, we will use your personal information in the following circumstances:</paratext>
                          </para>
                          <para align="left">
                            <paratext>1. Where we need to perform the contract we have entered into with you.</paratext>
                          </para>
                          <para align="left">
                            <paratext>2. Where we need to comply with a legal obligation.</paratext>
                          </para>
                          <para align="left">
                            <paratext>3. Where it is necessary for our legitimate interests (or those of a third party) and your interests and fundamental rights do not override those interests.</paratext>
                          </para>
                          <para align="left">
                            <paratext>We may also use your personal information in the following situations, which are likely to be rare:</paratext>
                          </para>
                          <para align="left">
                            <paratext>1. Where we need to protect your interests (or someone else's interests).</paratext>
                          </para>
                          <para align="left">
                            <paratext>2. Where it is needed in the public interest [or for official purposes].</paratext>
                          </para>
                        </entry>
                      </row>
                    </tbody>
                  </tgroup>
                </table>
              </paratext>
            </para>
            <para>
              <paratext>
                <bold>Situations in which we will use your personal information</bold>
              </paratext>
            </para>
            <para>
              <paratext>
                We need all the categories of information in the list above (see 
                <internal.reference refid="a486023">The kind of information we hold about you</internal.reference>
                )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[We have indicated by [asterisks] the purpose or purposes for which we are processing or will process your personal information, as well as indicating which categories of data are involved.]
              </paratext>
            </para>
            <list type="bulleted">
              <list.item>
                <para>
                  <paratext>[Making a decision about your recruitment or appointment.]</paratext>
                </para>
              </list.item>
              <list.item>
                <para>
                  <paratext>[Determining the terms on which you work for us.]</paratext>
                </para>
              </list.item>
              <list.item>
                <para>
                  <paratext>[Checking you are legally entitled to work in the UK.]</paratext>
                </para>
              </list.item>
              <list.item>
                <para>
                  <paratext>[Paying you and, if you are an employee, deducting tax and National Insurance contributions.]</paratext>
                </para>
              </list.item>
              <list.item>
                <para>
                  <paratext>[Providing the following benefits to you: [LIST].]</paratext>
                </para>
              </list.item>
              <list.item>
                <para>
                  <paratext>[Liaising with your pension provider.]</paratext>
                </para>
              </list.item>
              <list.item>
                <para>
                  <paratext>[Administering the contract we have entered into with you.]</paratext>
                </para>
              </list.item>
              <list.item>
                <para>
                  <paratext>[Business management and planning, including accounting and auditing.]</paratext>
                </para>
              </list.item>
              <list.item>
                <para>
                  <paratext>[Conducting performance reviews, managing performance and determining performance requirements.]</paratext>
                </para>
              </list.item>
              <list.item>
                <para>
                  <paratext>[Making decisions about salary reviews and compensation.]</paratext>
                </para>
              </list.item>
              <list.item>
                <para>
                  <paratext>[Assessing qualifications for a particular job or task, including decisions about promotions.]</paratext>
                </para>
              </list.item>
              <list.item>
                <para>
                  <paratext>[Gathering evidence for possible grievance or disciplinary hearings.]</paratext>
                </para>
              </list.item>
              <list.item>
                <para>
                  <paratext>[Making decisions about your continued employment or engagement.]</paratext>
                </para>
              </list.item>
              <list.item>
                <para>
                  <paratext>[Making arrangements for the termination of our working relationship.]</paratext>
                </para>
              </list.item>
              <list.item>
                <para>
                  <paratext>[Education, training and development requirements.]</paratext>
                </para>
              </list.item>
              <list.item>
                <para>
                  <paratext>[Dealing with legal disputes involving you, or other employees, workers and contractors, including accidents at work.]</paratext>
                </para>
              </list.item>
              <list.item>
                <para>
                  <paratext>[Ascertaining your fitness to work.]</paratext>
                </para>
              </list.item>
              <list.item>
                <para>
                  <paratext>[Managing sickness absence.]</paratext>
                </para>
              </list.item>
              <list.item>
                <para>
                  <paratext>[Complying with health and safety obligations.]</paratext>
                </para>
              </list.item>
              <list.item>
                <para>
                  <paratext>[To prevent fraud.]</paratext>
                </para>
              </list.item>
              <list.item>
                <para>
                  <paratext>[To monitor your use of our information and communication systems to ensure compliance with our IT policies.]</paratext>
                </para>
              </list.item>
              <list.item>
                <para>
                  <paratext>[To ensure network and information security, including preventing unauthorised access to our computer and electronic communications systems and preventing malicious software distribution.]</paratext>
                </para>
              </list.item>
              <list.item>
                <para>
                  <paratext>[To conduct data analytics studies to review and better understand employee retention and attrition rates.]</paratext>
                </para>
              </list.item>
              <list.item>
                <para>
                  <paratext>[Equal opportunities monitoring.]</paratext>
                </para>
              </list.item>
            </list>
            <para>
              <paratext>Some of the above grounds for processing will overlap and there may be several grounds which justify our use of your personal information.</paratext>
            </para>
            <para>
              <paratext>
                <bold>If you fail to provide personal information</bold>
              </paratext>
            </para>
            <para>
              <paratext>If you fail to provide certain information when requested, we may not be able to perform the contract we have entered into with you (such as paying you or providing a benefit), or we may be prevented from complying with our legal obligations (such as to ensure the health and safety of our workers).</paratext>
            </para>
            <para>
              <paratext>
                <bold>Change of purpose</bold>
              </paratext>
            </para>
            <para>
              <paratex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paratext>
            </para>
            <para>
              <paratext>Please note that we may process your personal information without your knowledge or consent, in compliance with the above rules, where this is required or permitted by law.</paratext>
            </para>
          </clause>
          <clause id="a431055" numbering="none">
            <head align="left" preservecase="true">
              <headtext>How we use particularly sensitive personal information</headtext>
            </head>
            <drafting.note id="a828543" jurisdiction="">
              <head align="left" preservecase="true">
                <headtext>How we use particularly sensitive personal information</headtext>
              </head>
              <division id="a000008" level="1">
                <division id="a536369" level="2">
                  <head align="left" preservecase="true">
                    <headtext>Special categories of personal data</headtext>
                  </head>
                  <para>
                    <paratext>Subject to certain exceptions, the GDPR prohibits the processing of "special categories of personal data". This is personal data that reveals:</paratext>
                  </para>
                  <list type="bulleted">
                    <list.item>
                      <para>
                        <paratext>Racial or ethnic origin.</paratext>
                      </para>
                    </list.item>
                    <list.item>
                      <para>
                        <paratext>Political opinions.</paratext>
                      </para>
                    </list.item>
                    <list.item>
                      <para>
                        <paratext>Religious and philosophical beliefs.</paratext>
                      </para>
                    </list.item>
                    <list.item>
                      <para>
                        <paratext>Trade union membership.</paratext>
                      </para>
                    </list.item>
                    <list.item>
                      <para>
                        <paratext>Genetic data.</paratext>
                      </para>
                    </list.item>
                    <list.item>
                      <para>
                        <paratext>Biometric data.</paratext>
                      </para>
                    </list.item>
                    <list.item>
                      <para>
                        <paratext>Health data.</paratext>
                      </para>
                    </list.item>
                    <list.item>
                      <para>
                        <paratext>Sex life and sexual orientation.</paratext>
                      </para>
                    </list.item>
                  </list>
                  <para>
                    <paratext>
                      (
                      <ital>Article 9(1)</ital>
                      .)
                    </paratext>
                  </para>
                </division>
                <division id="a893699" level="2">
                  <head align="left" preservecase="true">
                    <headtext>Justifications for processing special categories of employee personal data</headtext>
                  </head>
                  <para>
                    <paratext>An employer may only process the special categories of personal data in the following circumstances:</paratext>
                  </para>
                  <list type="bulleted">
                    <list.item>
                      <para>
                        <paratext>Explicit consent from the individual.</paratext>
                      </para>
                    </list.item>
                    <list.item>
                      <para>
                        <paratext>
                          The processing is necessary for the employer to carry out specific rights and obligations in the context of employment law, such processing is authorised by domestic or EU law and the employer has an appropriate policy document in place (
                          <ital>section 9, paragraph 1, Schedule 1 and Part 4, Schedule 1, DPB</ital>
                          ).
                        </paratext>
                      </para>
                    </list.item>
                    <list.item>
                      <para>
                        <paratext>The processing is necessary to protect the vital interests of the individual or another person and the individual is incapable of giving consent.</paratext>
                      </para>
                    </list.item>
                    <list.item>
                      <para>
                        <paratext>The processing is carried out by a foundation, association or any other not-for-profit body with a political, philosophical, religious or trade union aim, provided that the processing relates only to members or former members and provided there is no disclosure to a third party without the consent of the data subject. If the employer does not fall into this category, the wording in square brackets should be removed from the privacy notice.</paratext>
                      </para>
                    </list.item>
                    <list.item>
                      <para>
                        <paratext>The processing relates to personal data that the individual made public.</paratext>
                      </para>
                    </list.item>
                    <list.item>
                      <para>
                        <paratext>The processing is necessary for establishing, exercising, or defending legal claims.</paratext>
                      </para>
                    </list.item>
                    <list.item>
                      <para>
                        <paratext>The processing is necessary for reasons of substantial public interest as provided in domestic or EU law. Provided that the employer has an appropriate policy document in place, this can include:</paratext>
                      </para>
                      <list type="bulleted">
                        <list.item>
                          <para>
                            <paratext>
                              processing of personal data revealing race, religious beliefs, health or sexual orientation for the purposes of promoting equality of treatment (
                              <ital>Section 9, paragraph 7, Schedule 1 and Part 4 Schedule 1, DPB</ital>
                              ); and
                            </paratext>
                          </para>
                        </list.item>
                        <list.item>
                          <para>
                            <paratext>
                              processing necessary to determine eligibility for or benefits payable under an occupational pension scheme which can reasonably be carried out without the individual's consent being provided (
                              <ital>Section 9, paragraph 16, Schedule 1 and Part 4 Schedule 1, DPB</ital>
                              ).
                            </paratext>
                          </para>
                        </list.item>
                      </list>
                    </list.item>
                  </list>
                  <list type="bulleted">
                    <list.item>
                      <para>
                        <paratext>
                          The processing is necessary for the assessment of the individual's working capacity either on the basis of domestic or EU law or pursuant to a contract with a health professional, and subject to confidentiality safeguards (
                          <ital>Section 9 and paragraph 2, Schedule 1, DPB </ital>
                          and
                          <ital> Article 9(3)</ital>
                          ).
                        </paratext>
                      </para>
                    </list.item>
                  </list>
                  <para>
                    <paratext>
                      (
                      <ital>Article 9(2)</ital>
                      .)
                    </paratext>
                  </para>
                  <para>
                    <paratext>The special categories of personal data and the purposes of use that are included in this privacy notice provide examples only and are not intended to be an exhaustive list of all of the reasons an employer may use the special categories of personal data. The employer should tailor the special categories of personal data collected and the purposes of use listed to reflect its practices, and must ensure that there is a lawful justification permitting its use of special categories of personal data.</paratext>
                  </para>
                </division>
              </division>
            </drafting.note>
            <para>
              <paratext>
                <table frame="all" pgwide="1">
                  <tgroup cols="1">
                    <colspec colname="1" colnum="1" colwidth="100"/>
                    <tbody>
                      <row>
                        <entry valign="top">
                          <para align="left">
                            <paratex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paratext>
                          </para>
                          <para align="left">
                            <paratext>1. In limited circumstances, with your explicit written consent.</paratext>
                          </para>
                          <para align="left">
                            <paratext>
                              2. Where we need to carry out our legal obligations and in line with our [data protection policy 
                              <bold>OR</bold>
                               [POLICY]].
                            </paratext>
                          </para>
                          <para align="left">
                            <paratext>
                              3. Where it is needed in the public interest, such as for equal opportunities monitoring [or in relation to our occupational pension scheme], and in line with our [data protection policy 
                              <bold>OR</bold>
                               [POLICY]].
                            </paratext>
                          </para>
                          <para align="left">
                            <paratext>4. Where it is needed to assess your working capacity on health grounds, subject to appropriate confidentiality safeguards.</paratext>
                          </para>
                          <para align="left">
                            <paratex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paratext>
                          </para>
                        </entry>
                      </row>
                    </tbody>
                  </tgroup>
                </table>
              </paratext>
            </para>
            <para>
              <paratext>
                <bold>Our obligations as an employer</bold>
              </paratext>
            </para>
            <para>
              <paratext>We will use your particularly sensitive personal information in the following ways:</paratext>
            </para>
            <list type="bulleted">
              <list.item>
                <para>
                  <paratext>We will use information relating to leaves of absence, which may include sickness absence or family related leaves, to comply with employment and other laws.</paratext>
                </para>
              </list.item>
              <list.item>
                <para>
                  <paratext>We will use information about your physical or mental health, or disability status, to ensure your health and safety in the workplace and to assess your fitness to work, to provide appropriate workplace adjustments, to monitor and manage sickness absence and to administer benefits.</paratext>
                </para>
              </list.item>
              <list.item>
                <para>
                  <paratext>We will use information about your race or national or ethnic origin, religious, philosophical or moral beliefs, or your sexual life or sexual orientation, to ensure meaningful equal opportunity monitoring and reporting.</paratext>
                </para>
              </list.item>
              <list.item>
                <para>
                  <paratext>[We will use trade union membership information to pay trade union premiums, register the status of a protected employee and to comply with employment law obligations.]</paratext>
                </para>
              </list.item>
              <list.item>
                <para>
                  <paratext>[LIST ANY OTHER.]</paratext>
                </para>
              </list.item>
            </list>
            <para>
              <paratext>
                <bold>Do we need your consent?</bold>
              </paratext>
            </para>
            <para>
              <paratext>We do not need your consent if we use special categories of your personal information in accordance with our written policy to carry out our legal obligations or exercise specific rights in the field of employment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You should be aware that it is not a condition of your contract with us that you agree to any request for consent from us.</paratext>
            </para>
          </clause>
          <clause id="a871922" numbering="none">
            <head align="left" preservecase="true">
              <headtext>Information about criminal convictions</headtext>
            </head>
            <drafting.note id="a176538" jurisdiction="">
              <head align="left" preservecase="true">
                <headtext>Information about criminal convictions</headtext>
              </head>
              <division id="a000009" level="1">
                <para>
                  <paratext>
                    The GDPR provides additional safeguards in connection with the processing of personal data relating to criminal convictions and offences. This personal data may only be processed under the control of official authority or when the processing is authorised by EU or domestic law which provides for appropriate safeguards for the rights and freedoms of data subjects (
                    <ital>Article 10</ital>
                    ).
                  </paratext>
                </para>
                <para>
                  <paratext>
                    In the UK, employers may only seek information about a person's criminal record history through voluntary disclosure or through official criminal records checks through the Disclosure and Barring Service (DBS). For details of the circumstances in which an employer is allowed to carry out a criminal records check through the DBS, see 
                    <link href="5-210-3956" style="ACTLinkPLCtoPLC">
                      <ital>Practice note, Carrying out criminal records checks</ital>
                    </link>
                    .
                  </paratext>
                </para>
                <para>
                  <paratext>The DPB imposes further requirements when an employer wishes to process personal data relating to criminal convictions or offences. Such processing is permitted if one of the conditions in Part 1, Part 2 or Part 3 of Schedule 1 of the DPB is satisfied. Those most relevant to the employment context are:</paratext>
                </para>
                <list type="bulleted">
                  <list.item>
                    <para>
                      <paratext>
                        The processing is necessary for the purposes of carrying out employment rights and obligations and the employer has an appropriate policy document in place (
                        <ital>paragraph 1 and Part 4, Schedule 1, DPB</ital>
                        ).
                      </paratext>
                    </para>
                  </list.item>
                  <list.item>
                    <para>
                      <paratext>
                        The individual has given their consent (
                        <ital>paragraph 22, Schedule 1, DPB</ital>
                        ).
                      </paratext>
                    </para>
                  </list.item>
                  <list.item>
                    <para>
                      <paratext>
                        The processing is necessary to protect the vital interests of the individual or another person where the individual is incapable of giving consent (
                        <ital>paragraph 23, Schedule 1, DPB</ital>
                        ).
                      </paratext>
                    </para>
                  </list.item>
                  <list.item>
                    <para>
                      <paratext>
                        Processing by a foundation, association or not-for-profit with a political, philosophical, religious or trade union aim, provided that the processing relates solely to members or former members or persons who have regular contact in connection with its purposes and the personal data is not disclosed to third parties without the data subject's consent (
                        <ital>paragraph 24, Schedule 1, DPB</ital>
                        ).
                      </paratext>
                    </para>
                  </list.item>
                  <list.item>
                    <para>
                      <paratext>
                        If the individual has made the personal data public (
                        <ital>paragraph 25, Schedule 1, DPB</ital>
                        ).
                      </paratext>
                    </para>
                  </list.item>
                  <list.item>
                    <para>
                      <paratext>
                        The processing is necessary for the employer to establish or defend legal claims (
                        <ital>paragraph 26, Schedule 1, DPB</ital>
                        ).
                      </paratext>
                    </para>
                  </list.item>
                </list>
                <para>
                  <paratext>For the majority of employers who do not process any personal data relating to criminal convictions or offences, this section should simply include the first statement confirming that the employer does not envisage holding any such information. The remainder of this section may be omitted. Those employers who do process criminal convictions data should set out here the nature of the processing and the lawful justification for doing so.</paratext>
                </para>
              </division>
            </drafting.note>
            <para>
              <paratext>
                <table frame="all" pgwide="1">
                  <tgroup cols="1">
                    <colspec colname="1" colnum="1" colwidth="100"/>
                    <tbody>
                      <row>
                        <entry valign="top">
                          <para align="left">
                            <paratext>
                              We may only use information relating to criminal convictions where the law allows us to do so. This will usually be where such processing is necessary to carry out our obligations and provided we do so in line with our [data protection policy 
                              <bold>OR</bold>
                               [POLICY]].
                            </paratext>
                          </para>
                          <para align="left">
                            <paratext>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paratext>
                          </para>
                          <para align="left">
                            <paratext>[We may also process such information about members or former members in the course of legitimate business activities with the appropriate safeguards.]</paratext>
                          </para>
                        </entry>
                      </row>
                    </tbody>
                  </tgroup>
                </table>
              </paratext>
            </para>
            <para>
              <paratext>
                We [envisage 
                <bold>OR</bold>
                 do not envisage] that we will hold information about criminal convictions.
              </paratext>
            </para>
            <para>
              <paratext>[We will only collect information about criminal convictions if it is appropriate given the nature of the role and where we are legally able to do so.] [Where appropriate, we will collect information about criminal convictions as part of the recruitment process or we may be notified of such information directly by you in the course of you working for us.] [We will use information about criminal convictions and offences in the following ways:</paratext>
            </para>
            <list type="bulleted">
              <list.item>
                <para>
                  <paratext>[LIST].]</paratext>
                </para>
              </list.item>
            </list>
            <para>
              <paratext>
                [We are allowed to use your personal information in this way [to carry out our obligations [SPECIFY] 
                <bold>OR</bold>
                 [SET OUT OTHER LAWFUL BASIS]].]
              </paratext>
            </para>
          </clause>
          <clause id="a355131" numbering="none">
            <head align="left" preservecase="true">
              <headtext>Automated decision-making</headtext>
            </head>
            <drafting.note id="a659180" jurisdiction="">
              <head align="left" preservecase="true">
                <headtext>Automated decision-making</headtext>
              </head>
              <division id="a000010" level="1">
                <para>
                  <paratext>
                    Under the GDPR, individuals have a right not to be subject to decisions based on automated data processing if the decisions produce legal effects on the individual or significantly affect them. (
                    <ital>Article 22(1) and Recital 71</ital>
                    ). Examples of where such decisions may be made in the employment context are:
                  </paratext>
                </para>
                <list type="bulleted">
                  <list.item>
                    <para>
                      <paratext>Automatic rejection of candidates in online recruitment systems if they do not have the requisite qualifications or grades.</paratext>
                    </para>
                  </list.item>
                  <list.item>
                    <para>
                      <paratext>A "trigger" is met in a sickness absence or disciplinary procedure.</paratext>
                    </para>
                  </list.item>
                  <list.item>
                    <para>
                      <paratext>A bonus decision is made on the basis of attendance data alone.</paratext>
                    </para>
                  </list.item>
                  <list.item>
                    <para>
                      <paratext>Automatic shift and holiday rostering.</paratext>
                    </para>
                  </list.item>
                  <list.item>
                    <para>
                      <paratext>Monitoring of employee emails and internet use.</paratext>
                    </para>
                  </list.item>
                </list>
                <para>
                  <paratext>If an employer is able to identify as a result of the data protection audit that automated decision-making does take place, this privacy notice should include full details.</paratext>
                </para>
                <para>
                  <paratext>
                    There are exemptions to this rule if the automated decision-making is necessary for entering into or performing the contract or is based on the individual's explicit written consent, and the employer has implemented measures to safeguard the individual's rights and freedoms and legitimate interests. These must include the right to human intervention, to express their point of view and appeal the decision. (
                    <ital>Article 22(2)</ital>
                    .)
                  </paratext>
                </para>
                <para>
                  <paratext>
                    Additionally, the DPB provides further lawful justifications for automated decision-making to take place. It will be permitted if the employer notifies the individual in writing as soon as reasonably practicable that a decision has been taken based solely on automated processing and gives the individual a period of 21 days to request a reconsideration or that a new decision is taken not based solely on automated processing. In the event such a request is made, the employer must consider the request and comply with it, and inform the individual of the outcome in writing. (
                    <ital>Section 13, DPB</ital>
                    .)
                  </paratext>
                </para>
                <para>
                  <paratext>
                    This privacy notice specifically states that the individual will not be subject to any automated decision-making unless there is a lawful justification which has been notified to them. This is one of the Article 13(2) requirements. For more information, see 
                    <internal.reference refid="a935228">Drafting note, Provision of information to data subjects</internal.reference>
                    .
                  </paratext>
                </para>
                <para>
                  <paratext>For more information on automated data processing under EU law, see Practice notes:</paratext>
                </para>
                <list type="bulleted">
                  <list.item>
                    <para>
                      <paratext>
                        <link anchor="a920984" href="w-007-9580" style="ACTLinkPLCtoPLC">
                          <ital>Overview of EU General Data Protection Regulation: Measures based on profiling</ital>
                        </link>
                        .
                      </paratext>
                    </para>
                  </list.item>
                  <list.item>
                    <para>
                      <paratext>
                        <link anchor="a325316" href="w-010-3418" style="ACTLinkPLCtoPLC">
                          <ital>The GDPR and Data Protection Bill: employer obligations: Automated decision-making (including profiling)</ital>
                        </link>
                        .
                      </paratext>
                    </para>
                  </list.item>
                </list>
              </division>
            </drafting.note>
            <para>
              <paratext>
                <table frame="all" pgwide="1">
                  <tgroup cols="1">
                    <colspec colname="1" colnum="1" colwidth="100"/>
                    <tbody>
                      <row>
                        <entry valign="top">
                          <para align="left">
                            <paratext>Automated decision-making takes place when an electronic system uses personal information to make a decision without human intervention. We are allowed to use automated decision-making in the following circumstances:</paratext>
                          </para>
                          <para align="left">
                            <paratext>1. Where we have notified you of the decision and given you 21 days to request a reconsideration.</paratext>
                          </para>
                          <para align="left">
                            <paratext>2. Where it is necessary to perform the contract with you and appropriate measures are in place to safeguard your rights.</paratext>
                          </para>
                          <para align="left">
                            <paratext>3. In limited circumstances, with your explicit written consent and where appropriate measures are in place to safeguard your rights.</paratext>
                          </para>
                          <para align="left">
                            <paratext>If we make an automated decision on the basis of any particularly sensitive personal information, we must have either your explicit written consent or it must be justified in the public interest, and we must also put in place appropriate measures to safeguard your rights.</paratext>
                          </para>
                        </entry>
                      </row>
                    </tbody>
                  </tgroup>
                </table>
              </paratext>
            </para>
            <para>
              <paratext>You will not be subject to decisions that will have a significant impact on you based solely on automated decision-making, unless we have a lawful basis for doing so and we have notified you.</paratext>
            </para>
            <para>
              <paratext>[We do not envisage that any decisions will be taken about you using automated means, however we will notify you in writing if this position changes.]</paratext>
            </para>
          </clause>
          <clause condition="optional" id="a831080" numbering="none">
            <head align="left" preservecase="true">
              <headtext>Data sharing</headtext>
            </head>
            <drafting.note id="a816465" jurisdiction="">
              <head align="left" preservecase="true">
                <headtext>Data sharing</headtext>
              </head>
              <division id="a000011" level="1">
                <para>
                  <paratext>Under Article 28 of the GDPR, the employer is required to enter into a contract (or other legally binding act) with any third-party processor that imposes obligations on the processor to:</paratext>
                </para>
                <list type="bulleted">
                  <list.item>
                    <para>
                      <paratext>Process the personal data only on the documented instructions of the employer.</paratext>
                    </para>
                  </list.item>
                  <list.item>
                    <para>
                      <paratext>Only use staff and other persons who have a duty of confidentiality with regard to the data.</paratext>
                    </para>
                  </list.item>
                  <list.item>
                    <para>
                      <paratext>Comply with security obligations equivalent to those imposed on the employer under the GDPR.</paratext>
                    </para>
                  </list.item>
                  <list.item>
                    <para>
                      <paratext>Notify the employer of any breach in relation to the personal data shared by the employer.</paratext>
                    </para>
                  </list.item>
                  <list.item>
                    <para>
                      <paratext>Enlist a sub-processor only with the prior permission of the employer.</paratext>
                    </para>
                  </list.item>
                </list>
                <para>
                  <paratext>
                    For further information, see 
                    <link href="w-005-6153" style="ACTLinkPLCtoPLC">
                      <ital>Practice note, Data processor obligations under the GDPR: Overview</ital>
                    </link>
                    .
                  </paratext>
                </para>
                <division id="a217327" level="2">
                  <head align="left" preservecase="true">
                    <headtext>Cross-border data transfers</headtext>
                  </head>
                  <para>
                    <paratext>An employer may wish to transfer the personal data of their employees, workers and contractors across international borders where they have offices or other legal entities in different jurisdictions, or where the employer is part of an international group of companies. The employer may also use external service providers (such as IT providers) in other jurisdictions and workforce personal data may need to be transferred to those third parties for the performance of the services.</paratext>
                  </para>
                  <para>
                    <paratext>The GDPR restricts transfers of personal data outside the EU unless the recipient country provides adequate protection for the personal data, or other safeguards are in place. This is to ensure that the level of protection of an individual's personal data afforded by the GDPR is not undermined.</paratext>
                  </para>
                  <para>
                    <paratext>After Brexit, the UK will be a jurisdiction outside the EU. This notice should be reviewed on an ongoing basis as the UK progresses towards Brexit to ensure it is still applicable in its current form after Brexit and to ensure that there are no national or EU laws in place in other member states that would affect the transfer of personal data between the UK and any relevant member state. In relation to data transfers to EU countries, the notice is likely to need to contain details of the lawful basis for doing so (for example, an adequacy decision by the European Commission (if one is in place)).</paratext>
                  </para>
                  <para>
                    <paratext>
                      Personal data can only be transferred outside the EU to third countries or international organisations in compliance with the conditions for transfer set out in Chapter V (
                      <ital>Articles 44-50</ital>
                      ) of the GDPR, namely where one of the following applies:
                    </paratext>
                  </para>
                  <list type="bulleted">
                    <list.item>
                      <para>
                        <paratext>
                          There has been an 
                          <bold>adequacy decision </bold>
                          by the European Commission in relation to the third country, territory or specific sector.
                        </paratext>
                      </para>
                    </list.item>
                    <list.item>
                      <para>
                        <paratext>
                          <bold>Adequate safeguards </bold>
                          have been provided by the employer or third-party-processor. These may be provided by way of:
                        </paratext>
                      </para>
                      <list type="bulleted">
                        <list.item>
                          <para>
                            <paratext>a legally binding and enforceable instrument between public authorities;</paratext>
                          </para>
                        </list.item>
                        <list.item>
                          <para>
                            <paratext>binding corporate rules (BCRs) (BCRs may be used within the same corporate group and can also be used by a group of enterprises engaged in a joint economic activity);</paratext>
                          </para>
                        </list.item>
                        <list.item>
                          <para>
                            <paratext>standard contractual clauses adopted by the Commission;</paratext>
                          </para>
                        </list.item>
                        <list.item>
                          <para>
                            <paratext>standard contractual clauses adopted by a supervisory authority and approved by the Commission;</paratext>
                          </para>
                        </list.item>
                        <list.item>
                          <para>
                            <paratext>an approved code of conduct; or</paratext>
                          </para>
                        </list.item>
                        <list.item>
                          <para>
                            <paratext>an approved certification mechanism.</paratext>
                          </para>
                        </list.item>
                      </list>
                    </list.item>
                  </list>
                  <list type="bulleted">
                    <list.item>
                      <para>
                        <paratext>
                          In cases of transfer of personal data to the US, the third party participates in self-certification with the 
                          <bold>EU-US Privacy Shield</bold>
                          .
                        </paratext>
                      </para>
                    </list.item>
                    <list.item>
                      <para>
                        <paratext>
                          A 
                          <bold>derogation</bold>
                           applies. Article 49 of the GDPR sets out a limited number of derogations which can be used for data transfers in the absence of adequacy determinations, appropriate safeguards or the EU-US Privacy Shield.
                        </paratext>
                      </para>
                    </list.item>
                  </list>
                  <para>
                    <paratext>
                      Where personal data is to be transferred to a country outside the EU, the individual has the right to be informed of the appropriate safeguards in place (
                      <ital>Article 15(2)</ital>
                      ). This notice includes an optional clause (to be used when data is to be transferred to third parties outside the EU) which provides for details of the safeguards to be requested from a designated person, or else directs the individual to an intranet or relevant link on the intranet.
                    </paratext>
                  </para>
                  <para>
                    <paratext>
                      For further information, see 
                      <link anchor="a553297" href="w-007-9580" style="ACTLinkPLCtoPLC">
                        <ital>Practice note, Overview of EU General Data Protection Regulation: Cross-border data transfers</ital>
                      </link>
                      .
                    </paratext>
                  </para>
                </division>
              </division>
            </drafting.note>
            <para>
              <paratext>
                <table frame="all" pgwide="1">
                  <tgroup cols="1">
                    <colspec colname="1" colnum="1" colwidth="100"/>
                    <tbody>
                      <row>
                        <entry valign="top">
                          <para align="left">
                            <paratext>We may have to share your data with third parties, including third-party service providers and other entities in the group.</paratext>
                          </para>
                          <para align="left">
                            <paratext>We require third parties to respect the security of your data and to treat it in accordance with the law.</paratext>
                          </para>
                          <para align="left">
                            <paratext>We may transfer your personal information outside the EU.</paratext>
                          </para>
                          <para align="left">
                            <paratext>If we do, you can expect a similar degree of protection in respect of your personal information.</paratext>
                          </para>
                        </entry>
                      </row>
                    </tbody>
                  </tgroup>
                </table>
              </paratext>
            </para>
            <para>
              <paratext>
                <bold>Why might you share my personal information with third parties?</bold>
              </paratext>
            </para>
            <para>
              <paratext>We may share your personal information with third parties where required by law, where it is necessary to administer the working relationship with you or where we have another legitimate interest in doing so.</paratext>
            </para>
            <para>
              <paratext>
                <bold>Which third-party service providers process my personal information?</bold>
              </paratext>
            </para>
            <para>
              <paratext>
                "Third parties" includes third-party service providers (including contractors and designated agents) and other entities within our group. [The following activities are carried out by third-party service providers: [payroll, pension administration, benefits provision and administration, IT services] 
                <bold>OR</bold>
                 The following third-party service providers process personal information about you for the following purposes: [NAME PROVIDERS AND THE ACTIVITY THEY CARRY OUT]].
              </paratext>
            </para>
            <para>
              <paratext>
                <bold>How secure is my information with third-party service providers and other entities in our group?</bold>
              </paratext>
            </para>
            <para>
              <paratext>All our third-party service providers and other entities in the group are required to take appropriate security measures to protect your personal information in line with our policies. We do not allow our third-party service providers to use your personal data for their own purposes. We only permit them to process your personal data for specified purposes and in accordance with our instructions.</paratext>
            </para>
            <para>
              <paratext>
                <bold>When might you share my personal information with other entities in the group?</bold>
              </paratext>
            </para>
            <para>
              <paratext>We will share your personal information with other entities in our group [as part of our regular reporting activities on company performance, in the context of a business reorganisation or group restructuring exercise, for system maintenance support and hosting of data [DESCRIBE OTHER KNOWN ACTIVITIES]].</paratext>
            </para>
            <para>
              <paratext>
                <bold>What about other third parties?</bold>
              </paratext>
            </para>
            <para>
              <paratext>We may share your personal information with other third parties, for example in the context of the possible sale or restructuring of the business. We may also need to share your personal information with a regulator or to otherwise comply with the law.</paratext>
            </para>
            <para>
              <paratext>
                <bold>Transferring information outside the EU</bold>
              </paratext>
            </para>
            <para>
              <paratext>
                We may transfer the personal information we collect about you to the following [country 
                <bold>OR</bold>
                 countries] outside the EU [LIST] in order to perform our contract with you. There [is 
                <bold>OR</bold>
                 is not] an adequacy decision by the European Commission in respect of [that 
                <bold>OR</bold>
                 those] [country 
                <bold>OR</bold>
                 countries]. This means that the [country 
                <bold>OR</bold>
                 countries] to which we transfer your data are [deemed 
                <bold>OR</bold>
                 not deemed] to provide an adequate level of protection for your personal information.
              </paratext>
            </para>
            <para>
              <paratext>
                However, to ensure that your personal information does receive an adequate level of protection we have put in place the following appropriate measure[s] to ensure that your personal information is treated by those third parties in a way that is consistent with and which respects the EU and UK laws on data protection: [SPECIFY MEASURE, FOR EXAMPLE, BINDING CORPORATE RULES]. If you require further information about [this 
                <bold>OR</bold>
                 these] protective measure[s], [you can request it from [POSITION] 
                <bold>OR</bold>
                 it is available [ON THE INTRANET/PROVIDE LINK HERE].]
              </paratext>
            </para>
          </clause>
          <clause id="a963338" numbering="none">
            <head align="left" preservecase="true">
              <headtext>Data security</headtext>
            </head>
            <drafting.note id="a644415" jurisdiction="">
              <head align="left" preservecase="true">
                <headtext>Data security</headtext>
              </head>
              <division id="a000012" level="1">
                <para>
                  <paratext>Organisations must:</paratext>
                </para>
                <list type="bulleted">
                  <list.item>
                    <para>
                      <paratext>
                        Implement appropriate technical and organisational measures to ensure a level of security appropriate to the risks represented by the processing and the nature of the personal data to be protected (
                        <ital>Article 32(1), GDPR</ital>
                        ).
                      </paratext>
                    </para>
                  </list.item>
                  <list.item>
                    <para>
                      <paratext>
                        Ensure that anyone acting under their authority who has access to the personal data does not process it except on their instructions, unless required to do so by EU or member state law (
                        <ital>Article 32(4)</ital>
                        ).
                      </paratext>
                    </para>
                  </list.item>
                </list>
                <division id="a333868" level="2">
                  <head align="left" preservecase="true">
                    <headtext>Security measures</headtext>
                  </head>
                  <para>
                    <paratext>Measures that may be taken include or display the following features and functionalities:</paratext>
                  </para>
                  <list type="bulleted">
                    <list.item>
                      <para>
                        <paratext>The pseudonymisation and encryption of personal data.</paratext>
                      </para>
                    </list.item>
                    <list.item>
                      <para>
                        <paratext>The ability to ensure the ongoing confidentiality, integrity, availability and resilience of processing systems and services.</paratext>
                      </para>
                    </list.item>
                    <list.item>
                      <para>
                        <paratext>The ability to restore the availability and access to personal data in a timely manner in the event of a physical or technical incident.</paratext>
                      </para>
                    </list.item>
                    <list.item>
                      <para>
                        <paratext>A process for regularly testing, assessing and evaluating the effectiveness of technical and organisational measures for ensuring the security of the processing.</paratext>
                      </para>
                    </list.item>
                  </list>
                  <para>
                    <paratext>
                      (
                      <ital>Article 32(1)</ital>
                      .)
                    </paratext>
                  </para>
                  <para>
                    <paratext>
                      For further information on security measures under the GDPR, see 
                      <link href="w-007-9580" style="ACTLinkPLCtoPLC">
                        <ital>Practice note, Overview of EU General Data Protection Regulation</ital>
                      </link>
                      <ital>.</ital>
                    </paratext>
                  </para>
                </division>
              </division>
            </drafting.note>
            <para>
              <paratext>
                <table frame="all" pgwide="1">
                  <tgroup cols="1">
                    <colspec colname="1" colnum="1" colwidth="100"/>
                    <tbody>
                      <row>
                        <entry valign="top">
                          <para align="left">
                            <paratext>
                              We have put in place measures to protect the security of your information. Details of these measures are available [upon request 
                              <bold>OR</bold>
                               on the intranet].
                            </paratext>
                          </para>
                          <para align="left">
                            <paratext>Third parties will only process your personal information on our instructions and where they have agreed to treat the information confidentially and to keep it secure.</paratext>
                          </para>
                        </entry>
                      </row>
                    </tbody>
                  </tgroup>
                </table>
              </paratext>
            </para>
            <para>
              <paratext>We have put in place appropriate security measures to prevent your personal information from being accidentally lost, used or accessed in an unauthorised way, altered or disclosed. In addition, we limit access to your personal information to those employees, agents, contractors and other third parties who have a business need to know. They will only process your personal information on our instructions and they are subject to a duty of confidentiality. [Details of these measures may be obtained from [POSITION].]</paratext>
            </para>
            <para>
              <paratext>We have put in place procedures to deal with any suspected data security breach and will notify you and any applicable regulator of a suspected breach where we are legally required to do so.</paratext>
            </para>
          </clause>
          <clause id="a395052" numbering="none">
            <head align="left" preservecase="true">
              <headtext>Data retention</headtext>
            </head>
            <drafting.note id="a437017" jurisdiction="">
              <head align="left" preservecase="true">
                <headtext>Data retention</headtext>
              </head>
              <division id="a000013" level="1">
                <para>
                  <paratext>
                    The GDPR does not specify retention periods for personal data. Instead, employers are required not to retain personal data in a form that enables members of its workforce to be identified for longer than is necessary to fulfil the purposes the employer collected it for (
                    <ital>Article 5(1)(e)</ital>
                    ).
                  </paratext>
                </para>
                <para>
                  <paratext>Article 30 of the GDPR introduces documentation requirements for data controllers such that they must maintain a record of all processing operations under their responsibility, which includes, where possible, a general indication of the time limits for erasure of the different categories of data.</paratext>
                </para>
                <para>
                  <paratext>Article 13(2) requires the employer to provide the individual with information about the period for which the data will be stored (as part of the transparency principle). If this is not available, the criteria used to determine that period should be provided.</paratext>
                </para>
                <para>
                  <paratext>
                    If an employer has a retention policy, it may wish to link to this from the privacy notice. For a suggested retention policy, see 
                    <link href="8-200-7326" style="ACTLinkPLCtoPLC">
                      <ital>Retention of employment records</ital>
                    </link>
                    .
                  </paratext>
                </para>
              </division>
            </drafting.note>
            <para>
              <paratext>
                <bold>How long will you use my information for?</bold>
              </paratext>
            </para>
            <para>
              <paratext>
                We will only retain your 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[[POSITION] 
                <bold>OR</bold>
                 [THE INTRANET/PROVIDE LINK]].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paratext>
            </para>
            <para>
              <paratext>
                In some circumstances we may anonymise your personal information so that it can no longer be associated with you, in which case we may use such information without further notice to you. Once you are no longer an employee, worker or contractor of the company we will retain and securely destroy your personal information in accordance with [our data retention policy 
                <bold>OR</bold>
                 applicable laws and regulations].
              </paratext>
            </para>
          </clause>
          <clause id="a754284" numbering="none">
            <head align="left" preservecase="true">
              <headtext>Rights of access, correction, erasure, and restriction</headtext>
            </head>
            <drafting.note id="a264953" jurisdiction="">
              <head align="left" preservecase="true">
                <headtext>Rights of access, rectification, erasure, and restriction</headtext>
              </head>
              <division id="a000014" level="1">
                <division id="a563614" level="2">
                  <head align="left" preservecase="true">
                    <headtext>Data subject access requests (DSARs)</headtext>
                  </head>
                  <para>
                    <paratext>
                      Under the GDPR, individuals have the right to obtain confirmation from their employer as to whether or not the employer processes personal data relating to them. If the employer does process the individual's personal data, it must provide them with access to the data, including providing a copy of the personal information (unless providing a copy adversely affects the rights and freedoms of others) (
                      <ital>Article 15</ital>
                      ).
                    </paratext>
                  </para>
                  <para>
                    <paratext>The employer must also provide:</paratext>
                  </para>
                  <list type="bulleted">
                    <list.item>
                      <para>
                        <paratext>Information as to the purposes of the processing.</paratext>
                      </para>
                    </list.item>
                    <list.item>
                      <para>
                        <paratext>The categories of personal data concerned.</paratext>
                      </para>
                    </list.item>
                    <list.item>
                      <para>
                        <paratext>The recipients or categories of recipients to whom the personal data has been or will be disclosed (in particular outside the EU).</paratext>
                      </para>
                    </list.item>
                    <list.item>
                      <para>
                        <paratext>The envisaged period for which the personal data will be stored (or the criteria used to determine that period).</paratext>
                      </para>
                    </list.item>
                    <list.item>
                      <para>
                        <paratext>Information on the existence of the right to request rectification, erasure or restriction of processing.</paratext>
                      </para>
                    </list.item>
                    <list.item>
                      <para>
                        <paratext>Information on the right to object to processing and the right to lodge a complaint with the ICO.</paratext>
                      </para>
                    </list.item>
                    <list.item>
                      <para>
                        <paratext>Information as to the source of the personal data (where it has not been collected from the individual).</paratext>
                      </para>
                    </list.item>
                    <list.item>
                      <para>
                        <paratext>Information about the logic involved in any automated decision-making, as well as the significance and envisaged consequences of such processing for the individual</paratext>
                      </para>
                    </list.item>
                  </list>
                  <para>
                    <paratext>
                      (
                      <ital>Article 15(1)</ital>
                      .)
                    </paratext>
                  </para>
                  <para>
                    <paratext>
                      The employer must provide a copy of the personal data it processes to the individual free of charge. When the individual makes the request electronically, the employer must provide the information in a commonly used electronic form, unless the individual requests the information in a different format. The employer may charge a reasonable fee for additional copies (
                      <ital>Article 15(3)</ital>
                      ).
                    </paratext>
                  </para>
                  <para>
                    <paratext>If an individual's requests are unfounded or excessive, the employer may either:</paratext>
                  </para>
                  <list type="bulleted">
                    <list.item>
                      <para>
                        <paratext>Charge a reasonable fee to provide the information or take the requested action.</paratext>
                      </para>
                    </list.item>
                    <list.item>
                      <para>
                        <paratext>Refuse to act on the request.</paratext>
                      </para>
                    </list.item>
                  </list>
                  <para>
                    <paratext>
                      (
                      <ital>Article 12(5)</ital>
                      .)
                    </paratext>
                  </para>
                  <para>
                    <paratext>
                      If the employer or its third-party processor transfers the personal data to a third country outside the EU or to an international organisation, they must inform the individual of the appropriate safeguards in relation to the transfer (
                      <ital>Article 15(2)</ital>
                      ).
                    </paratext>
                  </para>
                  <para>
                    <paratext>
                      (See 
                      <link href="6-624-3481" style="ACTLinkPLCtoPLC">
                        <ital>Practice note, EU General Data Protection Regulation: implications for employers</ital>
                      </link>
                      .)
                    </paratext>
                  </para>
                </division>
                <division id="a180210" level="2">
                  <head align="left" preservecase="true">
                    <headtext>Right to rectification</headtext>
                  </head>
                  <para>
                    <paratext>
                      Based on the principle set out in Article 5(d) that personal data must be kept accurate and up to date (see 
                      <internal.reference refid="a644374">Drafting note, Data Protection principles</internal.reference>
                      ), the individual has the right to request the employer to:
                    </paratext>
                  </para>
                  <list type="bulleted">
                    <list.item>
                      <para>
                        <paratext>Rectify any personal data relating to them that is inaccurate.</paratext>
                      </para>
                    </list.item>
                    <list.item>
                      <para>
                        <paratext>Complete any incomplete data, including by way of providing a supplementary statement.</paratext>
                      </para>
                    </list.item>
                  </list>
                  <para>
                    <paratext>
                      (
                      <ital>Article 16</ital>
                      .)
                    </paratext>
                  </para>
                </division>
                <division id="a637477" level="2">
                  <head align="left" preservecase="true">
                    <headtext>Right to erasure ("right to be forgotten")</headtext>
                  </head>
                  <para>
                    <paratext>Individuals have the right to the erasure of personal data held by the employer without undue delay. The employer must comply with any such request, if one of the following grounds applies:</paratext>
                  </para>
                  <list type="bulleted">
                    <list.item>
                      <para>
                        <paratext>The data is no longer necessary in relation to the purposes for which it was collected or otherwise processed.</paratext>
                      </para>
                    </list.item>
                    <list.item>
                      <para>
                        <paratext>The individual withdraws consent on which the processing is based, and there is no other legal ground for the processing of the data.</paratext>
                      </para>
                    </list.item>
                    <list.item>
                      <para>
                        <paratext>
                          The individual objects to the processing of personal data pursuant to Article 21(1) of the GDPR and there are no overriding legitimate grounds for the processing (see 
                          <link anchor="a631023" href="w-007-9580" style="ACTLinkPLCtoPLC">
                            <ital>Practice note, Overview of EU General Data Protection Regulation: Processing for public interest purposes and the controller's legitimate interest</ital>
                          </link>
                          ).
                        </paratext>
                      </para>
                    </list.item>
                    <list.item>
                      <para>
                        <paratext>The individual objects to the processing of their data for direct marketing purposes (including profiling to the extent that it is related to direct marketing).</paratext>
                      </para>
                    </list.item>
                    <list.item>
                      <para>
                        <paratext>The personal data has been unlawfully processed.</paratext>
                      </para>
                    </list.item>
                    <list.item>
                      <para>
                        <paratext>The personal data has to be erased for compliance with a legal obligation under EU or domestic law.</paratext>
                      </para>
                    </list.item>
                  </list>
                  <para>
                    <paratext>
                      (
                      <ital>Article 17(1)</ital>
                      .)
                    </paratext>
                  </para>
                  <para>
                    <paratext>Article 17(2) includes a new "right to be forgotten". This requires the data controller to erase personal data and to inform other controllers that are processing the personal data that the data subject has requested erasure by them of any links to, or copies of, that data.</paratext>
                  </para>
                  <para>
                    <paratext>Employers are not required to erase the data or inform third party controllers of the individual's request to the extent that the processing is necessary for any of the following reasons:</paratext>
                  </para>
                  <list type="bulleted">
                    <list.item>
                      <para>
                        <paratext>Exercising the right of freedom of expression and information.</paratext>
                      </para>
                    </list.item>
                    <list.item>
                      <para>
                        <paratext>Compliance with a legal obligation which requires processing by EU or domestic law or for the performance of a task carried out in the public interest or in the exercise of official authority vested in the controller.</paratext>
                      </para>
                    </list.item>
                    <list.item>
                      <para>
                        <paratext>
                          For reasons of public interest in the area of public health in accordance with Article 9(2)(h) and (i) and Article 9(3) (see 
                          <internal.reference refid="a828543">Drafting note, Special categories of personal data</internal.reference>
                          ).
                        </paratext>
                      </para>
                    </list.item>
                    <list.item>
                      <para>
                        <paratext>For archiving purposes in the public interest, scientific or historical research purposes or statistical purposes in accordance with Article 89(1), insofar as the right to erasure is likely to render impossible or seriously impair the achievement of the objectives of that processing.</paratext>
                      </para>
                    </list.item>
                    <list.item>
                      <para>
                        <paratext>For the establishment, exercise or defence of legal claims.</paratext>
                      </para>
                    </list.item>
                  </list>
                  <para>
                    <paratext>
                      (
                      <ital>Article 17(3)</ital>
                      .)
                    </paratext>
                  </para>
                </division>
                <division id="a218359" level="2">
                  <head align="left" preservecase="true">
                    <headtext>Right to object to processing</headtext>
                  </head>
                  <para>
                    <paratext>Individuals have the right to object to processing, on grounds relating to their particular situation, where the processing is based on the employer's legitimate interests or those of a third party. This includes the situation where profiling takes place. If such a request is made, the employer must stop processing such data unless the employer can demonstrate compelling legitimate grounds for the processing which override the interests, rights and freedoms of the individual. Alternatively the employer may continue processing if it is necessary for the establishment, exercise or defence of legal claims.</paratext>
                  </para>
                  <para>
                    <paratext>Individuals can also object to processing of data where it takes place for direct marketing purposes. It would be unusual for the employer to process employee data for direct marketing purposes, but where this takes place and the employee objects, the personal data shall no longer be processed for such purposes.</paratext>
                  </para>
                  <para>
                    <paratext>
                      (
                      <ital>Article 21 GDPR</ital>
                      .)
                    </paratext>
                  </para>
                </division>
                <division id="a855543" level="2">
                  <head align="left" preservecase="true">
                    <headtext>Restriction of processing</headtext>
                  </head>
                  <para>
                    <paratext>
                      Individuals have the right to obtain a restriction of processing by their employer in certain circumstances (
                      <ital>Article 18, GDPR</ital>
                      ).
                    </paratext>
                  </para>
                  <para>
                    <paratext>The right to restriction of processing exists where one of the following conditions applies:</paratext>
                  </para>
                  <list type="bulleted">
                    <list.item>
                      <para>
                        <paratext>The individual contests the accuracy of the data. The individual can request the data to be restricted for a period to enable the employer to verify the information.</paratext>
                      </para>
                    </list.item>
                    <list.item>
                      <para>
                        <paratext>The processing is unlawful and the individual opposes the erasure of the data and chooses restriction instead. This could be the case where the individual wishes to secure the data for evidential purposes.</paratext>
                      </para>
                    </list.item>
                    <list.item>
                      <para>
                        <paratext>The employer no longer needs the data for its own purposes but is required to retain it by the individual for the establishment, exercise or defence of legal claims.</paratext>
                      </para>
                    </list.item>
                    <list.item>
                      <para>
                        <paratext>
                          The individual has objected to processing pending verification as to whether the legitimate grounds of the employer override those of the individual (see 
                          <link anchor="a360618" href="w-007-9580" style="ACTLinkPLCtoPLC">
                            <ital>Practice note, Overview of EU General Protection Regulation: Right to object to processing</ital>
                          </link>
                          ).
                        </paratext>
                      </para>
                    </list.item>
                  </list>
                  <para>
                    <paratext>
                      (
                      <ital>Article 18(1)</ital>
                      .)
                    </paratext>
                  </para>
                  <para>
                    <paratext>"Restriction of processing" means that the employer has the continued right to store an individual's personal data, but may only process it in one of the following circumstances:</paratext>
                  </para>
                  <list type="bulleted">
                    <list.item>
                      <para>
                        <paratext>With the individual's consent.</paratext>
                      </para>
                    </list.item>
                    <list.item>
                      <para>
                        <paratext>For the establishment, exercise or defence of legal claims.</paratext>
                      </para>
                    </list.item>
                    <list.item>
                      <para>
                        <paratext>For the protection of the rights of another natural or legal person.</paratext>
                      </para>
                    </list.item>
                    <list.item>
                      <para>
                        <paratext>For important public interest reasons.</paratext>
                      </para>
                    </list.item>
                  </list>
                  <para>
                    <paratext>
                      In cases where an individual has obtained a restriction, the employer must inform the individual before the restriction is lifted (
                      <ital>Article 18(3)</ital>
                      ).
                    </paratext>
                  </para>
                  <division id="a633037" level="3">
                    <head align="left" preservecase="true">
                      <headtext>Obligation to notify</headtext>
                    </head>
                    <para>
                      <paratext>
                        The employer must also communicate any rectification, erasure or restriction of processing to each recipient to whom it has disclosed the personal data, unless this proves impossible or involves disproportionate effort (
                        <ital>Article 19, GDPR</ital>
                        ).
                      </paratext>
                    </para>
                  </division>
                </division>
                <division id="a358933" level="2">
                  <head align="left" preservecase="true">
                    <headtext>Right to data portability</headtext>
                  </head>
                  <para>
                    <paratext>Article 20 of the GDPR introduces a new right to data portability. This means that the individual has the right to:</paratext>
                  </para>
                  <list type="bulleted">
                    <list.item>
                      <para>
                        <paratext>Obtain from the employer, on request, a copy of all personal data, which he or she has provided to the employer, where the processing is:</paratext>
                      </para>
                      <list type="bulleted">
                        <list.item>
                          <para>
                            <paratext>
                              based on the individual's consent (
                              <ital>Article 6(1)(a) and Article 9(2)</ital>
                              ) or necessary to carry out the contract with the individual (
                              <ital>Article 6(1)(b)</ital>
                              ); and
                            </paratext>
                          </para>
                        </list.item>
                        <list.item>
                          <para>
                            <paratext>carried out by automated means.</paratext>
                          </para>
                        </list.item>
                      </list>
                    </list.item>
                  </list>
                  <list type="bulleted">
                    <list.item>
                      <para>
                        <paratext>
                          Transmit the data to another data controller (
                          <ital>Article 20(2)</ital>
                          ). The employer must provide the data in a structured, electronic format that is commonly used and permits further use by the individual.
                        </paratext>
                      </para>
                    </list.item>
                  </list>
                </division>
                <division id="a244009" level="2">
                  <head align="left" preservecase="true">
                    <headtext>Time limits for employer to respond</headtext>
                  </head>
                  <para>
                    <paratext>Employers need to ensure that they have up to date and effective policies and processes in place to respond to any data subject access requests, rectification, erasure, restriction of or objection to processing or data portability requests from individuals and that their systems can deal with such requests.</paratext>
                  </para>
                  <para>
                    <paratext>Under Article 12(3) the employer must respond to the individual in respect of the rights asserted above "without undue delay and in any event within one month of receipt of the request". This is extendable by a further two months taking into account the complexity and number of requests.</paratext>
                  </para>
                  <para>
                    <paratext>Therefore, it could be prudent for an employer to liaise with the individual to clarify and ascertain exactly what the individual is seeking, where necessary, so that the request is clear and specific, failing which the employer may be entitled to respond within three months instead of one month.</paratext>
                  </para>
                  <para>
                    <paratext>
                      For information on data subjects' rights under the GDPR, including the right to be forgotten and the right to data portability, see 
                      <link anchor="a668331" href="w-007-9580" style="ACTLinkPLCtoPLC">
                        <ital>Practice note, Overview of EU General Data Protection Regulation: Rights of data subject</ital>
                      </link>
                      .
                      <link href="w-006-7553" style="ACTLinkPLCtoPLC"/>
                    </paratext>
                  </para>
                </division>
              </division>
            </drafting.note>
            <para>
              <paratext>
                <bold>Your duty to inform us of changes</bold>
              </paratext>
            </para>
            <para>
              <paratext>It is important that the personal information we hold about you is accurate and current. Please keep us informed if your personal information changes during your working relationship with us.</paratext>
            </para>
            <para>
              <paratext>
                <bold>Your rights in connection with personal information</bold>
              </paratext>
            </para>
            <para>
              <paratext>Under certain circumstances, by law you have the right to:</paratext>
            </para>
            <list type="bulleted">
              <list.item>
                <para>
                  <paratext>
                    <bold>Request access </bold>
                    to your personal information (commonly known as a "data subject access request"). This enables you to receive a copy of the personal information we hold about you and to check that we are lawfully processing it.
                  </paratext>
                </para>
              </list.item>
              <list.item>
                <para>
                  <paratext>
                    <bold>Request correction </bold>
                    of the personal information that we hold about you. This enables you to have any incomplete or inaccurate information we hold about you corrected.
                  </paratext>
                </para>
              </list.item>
              <list.item>
                <para>
                  <paratext>
                    <bold>Request erasure </bold>
                    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
                  </paratext>
                </para>
              </list.item>
              <list.item>
                <para>
                  <paratext>
                    <bold>Object to processing </bold>
                    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
                  </paratext>
                </para>
              </list.item>
              <list.item>
                <para>
                  <paratext>
                    <bold>Request the restriction of processing </bold>
                    of your personal information. This enables you to ask us to suspend the processing of personal information about you, for example if you want us to establish its accuracy or the reason for processing it.
                  </paratext>
                </para>
              </list.item>
              <list.item>
                <para>
                  <paratext>
                    <bold>Request the transfer </bold>
                    of your personal information to another party.
                  </paratext>
                </para>
              </list.item>
            </list>
            <para>
              <paratext>If you want to review, verify, correct or request erasure of your personal information, object to the processing of your personal data, or request that we transfer a copy of your personal information to another party, please contact [POSITION] in writing.</paratext>
            </para>
            <para>
              <paratext>
                <bold>No fee usually required</bold>
              </paratext>
            </para>
            <para>
              <paratex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paratext>
            </para>
            <para>
              <paratext>
                <bold>What we may need from you</bold>
              </paratext>
            </para>
            <para>
              <paratex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paratext>
            </para>
          </clause>
          <clause id="a710573" numbering="none">
            <head align="left" preservecase="true">
              <headtext>Right to withdraw consent</headtext>
            </head>
            <drafting.note id="a922441" jurisdiction="">
              <head align="left" preservecase="true">
                <headtext>Right to withdraw consent</headtext>
              </head>
              <division id="a000015" level="1">
                <para>
                  <paratext>
                    Under the GDPR, if an employer bases data processing on consent, the individual has the right to withdraw consent at any time without any justification, although this will not affect the lawfulness of any processing carried out before the withdrawal (
                    <ital>Article 7(3)</ital>
                    ). Data subjects must be informed of their right to withdraw their consent and consent must be as easy to withdraw as it is to give.
                  </paratext>
                </para>
                <para>
                  <paratext>If an individual withdraws consent, the employer could face a situation where it can no longer process the personal data in question because the employer does not have another legal ground for processing.</paratext>
                </para>
                <para>
                  <paratext>
                    For more information on the use of consent under the GDPR, and the difficulties faced in the use of consent in the employment context, see 
                    <link anchor="a872936" href="w-010-3418" style="ACTLinkPLCtoPLC">
                      <ital>Practice note, The GDPR and Data Protection Bill: employer obligations: Employee consent</ital>
                    </link>
                    <link anchor="a549968" href="w-007-9580" style="ACTLinkPLCtoPLC"/>
                    .
                  </paratext>
                </para>
              </division>
            </drafting.note>
            <para>
              <paratex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[POSITION]. Once we have received notification that you have withdrawn your consent, we will no longer process your information for the purpose or purposes you originally agreed to, unless we have another legitimate basis for doing so in law.</paratext>
            </para>
          </clause>
          <clause id="a676451" numbering="none">
            <head align="left" preservecase="true">
              <headtext>Data protection officer</headtext>
            </head>
            <drafting.note id="a477821" jurisdiction="">
              <head align="left" preservecase="true">
                <headtext>Data protection officer (DPO)</headtext>
              </head>
              <division id="a000016" level="1">
                <para>
                  <paratext>Although some employers will appoint DPOs voluntarily, there is only a requirement under the GDPR for a DPO to be designated in any of the following circumstances:</paratext>
                </para>
                <list type="bulleted">
                  <list.item>
                    <para>
                      <paratext>Where the processing is carried out by a public authority or body, except for courts acting in their judicial capacity.</paratext>
                    </para>
                  </list.item>
                  <list.item>
                    <para>
                      <paratext>Where the core activities of the controller or the processor consist of processing operations which, by virtue of their nature, their scope and their purposes, require regular and systematic monitoring of data subjects on a large scale.</paratext>
                    </para>
                  </list.item>
                  <list.item>
                    <para>
                      <paratext>
                        Where the core activities of the controller or the processor consist of processing any special categories of personal data on a large scale and data relating to criminal convictions and offences (
                        <ital>Articles 9 and 10</ital>
                        ).
                      </paratext>
                    </para>
                  </list.item>
                </list>
                <para>
                  <paratext>
                    (
                    <ital>Article 37(1)</ital>
                    .)
                  </paratext>
                </para>
                <para>
                  <paratext>Irrespective of whether a mandatory DPO needs to be appointed, most organisations will want to allocate data privacy compliance to a particular individual. They may be called a data privacy manager, if they are not a DPO, to make clear that DPO rights do not apply to them.</paratext>
                </para>
                <para>
                  <paratext>
                    For more information on DPO requirements under the GDPR, see 
                    <link anchor="a746188" href="w-010-3418" style="ACTLinkPLCtoPLC">
                      <ital>Practice note, The GDPR and Data Protection Bill: employer obligations: Data protection officer (DPO)</ital>
                    </link>
                    .
                  </paratext>
                </para>
              </division>
            </drafting.note>
            <para>
              <paratext>
                [We have appointed a [data protection officer (DPO) 
                <bold>OR</bold>
                 data privacy manager] to oversee compliance with this privacy notice. If you have any questions about this privacy notice or how we handle your personal information, please contact the [DPO 
                <bold>OR</bold>
                 data privacy manager]. You have the right to make a complaint at any time to the Information Commissioner's Office (ICO), the UK supervisory authority for data protection issues.]
              </paratext>
            </para>
          </clause>
          <clause id="a639415" numbering="none">
            <head align="left" preservecase="true">
              <headtext>Changes to this privacy notice</headtext>
            </head>
            <para>
              <paratext>We reserve the right to update this privacy notice at any time, and we will provide you with a new privacy notice when we make any substantial updates. We may also notify you in other ways from time to time about the processing of your personal information.</paratext>
            </para>
            <para>
              <paratext>
                <bold>If you have any questions about this privacy notice, please contact [POSITION AND CONTACT DETAILS].</bold>
              </paratext>
            </para>
            <drafting.note id="a338962" jurisdiction="">
              <head align="left" preservecase="true">
                <headtext>Acknowledgment of receipt</headtext>
              </head>
              <division id="a000017" level="1">
                <para>
                  <paratext>The GDPR does not require the employer to sign an acknowledgment of receipt. However, as best practice, employers often request that employees sign an acknowledgment to demonstrate that they have been properly informed of their data collection and handling practices, including any data subject rights, such as access rights.</paratext>
                </para>
              </division>
            </drafting.note>
          </clause>
        </operative>
        <signature pagebreak="false" signaturemessage="no">
          <para>
            <paratext>
              <table frame="none" pgwide="1">
                <tgroup cols="1">
                  <colspec colname="1" colnum="1" colwidth="100"/>
                  <tbody>
                    <row>
                      <entry valign="top">
                        <para>
                          <paratext space="default"> </paratext>
                        </para>
                        <para align="left">
                          <paratext>I,___________________________ (employee/worker/contractor name), acknowledge that on _________________________ (date), I received a copy of [EMPLOYER]'s Privacy Notice for employees, workers and contractors and that I have read and understood it.</paratext>
                        </para>
                      </entry>
                    </row>
                    <row>
                      <entry valign="top">
                        <para align="left">
                          <paratext>Signature</paratext>
                        </para>
                        <para align="left">
                          <paratext>………………………………………………</paratext>
                        </para>
                      </entry>
                    </row>
                    <row>
                      <entry valign="top">
                        <para align="left">
                          <paratext>Name</paratext>
                        </para>
                      </entry>
                    </row>
                    <row>
                      <entry valign="top">
                        <para align="left">
                          <paratext>…………………………………………………</paratext>
                        </para>
                      </entry>
                    </row>
                  </tbody>
                </tgroup>
              </table>
            </paratext>
          </para>
        </signature>
      </body>
    </standard.doc>
  </n-docbody>
</n-document>
</file>

<file path=customXml/itemProps1.xml><?xml version="1.0" encoding="utf-8"?>
<ds:datastoreItem xmlns:ds="http://schemas.openxmlformats.org/officeDocument/2006/customXml" ds:itemID="{86B37DE4-EFED-4347-BEBE-653F5C9A12ED}">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D442842-C8DD-4A40-BF32-AB1FA25950AC}">
  <ds:schemaRefs>
    <ds:schemaRef ds:uri="http://schemas.microsoft.com/office/2006/customDocumentInformationPanel"/>
  </ds:schemaRefs>
</ds:datastoreItem>
</file>

<file path=customXml/itemProps3.xml><?xml version="1.0" encoding="utf-8"?>
<ds:datastoreItem xmlns:ds="http://schemas.openxmlformats.org/officeDocument/2006/customXml" ds:itemID="{F89B16B1-7E8E-4B33-AB44-F307DE23B2D3}">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4.xml><?xml version="1.0" encoding="utf-8"?>
<ds:datastoreItem xmlns:ds="http://schemas.openxmlformats.org/officeDocument/2006/customXml" ds:itemID="{F1632DD2-2DD4-4AA1-8D2A-8F04565A0E9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14756</Characters>
  <Application>Microsoft Office Word</Application>
  <DocSecurity>0</DocSecurity>
  <Lines>238</Lines>
  <Paragraphs>166</Paragraphs>
  <ScaleCrop>false</ScaleCrop>
  <HeadingPairs>
    <vt:vector size="2" baseType="variant">
      <vt:variant>
        <vt:lpstr>Title</vt:lpstr>
      </vt:variant>
      <vt:variant>
        <vt:i4>1</vt:i4>
      </vt:variant>
    </vt:vector>
  </HeadingPairs>
  <TitlesOfParts>
    <vt:vector size="1" baseType="lpstr">
      <vt:lpstr/>
    </vt:vector>
  </TitlesOfParts>
  <Company>ThomsonReuters</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Man</dc:creator>
  <cp:keywords/>
  <cp:lastModifiedBy>Chris Scott</cp:lastModifiedBy>
  <cp:revision>6</cp:revision>
  <cp:lastPrinted>2021-11-11T13:08:00Z</cp:lastPrinted>
  <dcterms:created xsi:type="dcterms:W3CDTF">2022-12-02T11:28:00Z</dcterms:created>
  <dcterms:modified xsi:type="dcterms:W3CDTF">2025-10-31T09:46:00Z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84dfdf47-97f5-4576-a18b-9f195acdf23f</vt:lpwstr>
  </property>
</Properties>
</file>